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29B" w:rsidRPr="000C029B" w:rsidRDefault="000C029B" w:rsidP="000C029B">
      <w:pPr>
        <w:shd w:val="clear" w:color="auto" w:fill="F9F9F9"/>
        <w:spacing w:before="100" w:beforeAutospacing="1" w:after="120" w:line="240" w:lineRule="auto"/>
        <w:outlineLvl w:val="0"/>
        <w:rPr>
          <w:rFonts w:ascii="inherit" w:eastAsia="Times New Roman" w:hAnsi="inherit" w:cs="Helvetica"/>
          <w:b/>
          <w:bCs/>
          <w:color w:val="111111"/>
          <w:kern w:val="36"/>
          <w:sz w:val="36"/>
          <w:szCs w:val="36"/>
          <w:lang w:eastAsia="es-AR"/>
        </w:rPr>
      </w:pPr>
      <w:r w:rsidRPr="000C029B">
        <w:rPr>
          <w:rFonts w:ascii="inherit" w:eastAsia="Times New Roman" w:hAnsi="inherit" w:cs="Helvetica"/>
          <w:b/>
          <w:bCs/>
          <w:color w:val="111111"/>
          <w:kern w:val="36"/>
          <w:sz w:val="36"/>
          <w:szCs w:val="36"/>
          <w:lang w:eastAsia="es-AR"/>
        </w:rPr>
        <w:t>SUPERINTENDENCIA DE SEGUROS DE LA NACIÓN</w:t>
      </w:r>
    </w:p>
    <w:p w:rsidR="000C029B" w:rsidRPr="000C029B" w:rsidRDefault="000C029B" w:rsidP="000C029B">
      <w:pPr>
        <w:shd w:val="clear" w:color="auto" w:fill="F9F9F9"/>
        <w:spacing w:before="375" w:after="120" w:line="240" w:lineRule="auto"/>
        <w:outlineLvl w:val="1"/>
        <w:rPr>
          <w:rFonts w:ascii="inherit" w:eastAsia="Times New Roman" w:hAnsi="inherit" w:cs="Helvetica"/>
          <w:b/>
          <w:bCs/>
          <w:color w:val="111111"/>
          <w:sz w:val="30"/>
          <w:szCs w:val="30"/>
          <w:lang w:eastAsia="es-AR"/>
        </w:rPr>
      </w:pPr>
      <w:r w:rsidRPr="000C029B">
        <w:rPr>
          <w:rFonts w:ascii="inherit" w:eastAsia="Times New Roman" w:hAnsi="inherit" w:cs="Helvetica"/>
          <w:b/>
          <w:bCs/>
          <w:color w:val="111111"/>
          <w:sz w:val="30"/>
          <w:szCs w:val="30"/>
          <w:lang w:eastAsia="es-AR"/>
        </w:rPr>
        <w:t>Resolución 283/2023</w:t>
      </w:r>
    </w:p>
    <w:p w:rsidR="000C029B" w:rsidRPr="000C029B" w:rsidRDefault="000C029B" w:rsidP="000C029B">
      <w:pPr>
        <w:shd w:val="clear" w:color="auto" w:fill="F9F9F9"/>
        <w:spacing w:before="225" w:line="240" w:lineRule="auto"/>
        <w:outlineLvl w:val="5"/>
        <w:rPr>
          <w:rFonts w:ascii="inherit" w:eastAsia="Times New Roman" w:hAnsi="inherit" w:cs="Helvetica"/>
          <w:b/>
          <w:bCs/>
          <w:color w:val="666666"/>
          <w:sz w:val="24"/>
          <w:szCs w:val="24"/>
          <w:lang w:eastAsia="es-AR"/>
        </w:rPr>
      </w:pPr>
      <w:r w:rsidRPr="000C029B">
        <w:rPr>
          <w:rFonts w:ascii="inherit" w:eastAsia="Times New Roman" w:hAnsi="inherit" w:cs="Helvetica"/>
          <w:b/>
          <w:bCs/>
          <w:color w:val="666666"/>
          <w:sz w:val="24"/>
          <w:szCs w:val="24"/>
          <w:lang w:eastAsia="es-AR"/>
        </w:rPr>
        <w:t>RESOL-2023-283-APN-SSN#MEC</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Ciudad de Buenos Aires, 21/06/2023</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 xml:space="preserve">VISTO el Expediente EX-2019-06017150-APN-GA#SSN, las Leyes </w:t>
      </w:r>
      <w:proofErr w:type="spellStart"/>
      <w:r w:rsidRPr="000C029B">
        <w:rPr>
          <w:rFonts w:ascii="Helvetica" w:eastAsia="Times New Roman" w:hAnsi="Helvetica" w:cs="Helvetica"/>
          <w:color w:val="111111"/>
          <w:sz w:val="21"/>
          <w:szCs w:val="21"/>
          <w:lang w:eastAsia="es-AR"/>
        </w:rPr>
        <w:t>Nros</w:t>
      </w:r>
      <w:proofErr w:type="spellEnd"/>
      <w:r w:rsidRPr="000C029B">
        <w:rPr>
          <w:rFonts w:ascii="Helvetica" w:eastAsia="Times New Roman" w:hAnsi="Helvetica" w:cs="Helvetica"/>
          <w:color w:val="111111"/>
          <w:sz w:val="21"/>
          <w:szCs w:val="21"/>
          <w:lang w:eastAsia="es-AR"/>
        </w:rPr>
        <w:t>. 20.091 y 27.541, el Reglamento General de la Actividad Aseguradora (</w:t>
      </w:r>
      <w:proofErr w:type="spellStart"/>
      <w:r w:rsidRPr="000C029B">
        <w:rPr>
          <w:rFonts w:ascii="Helvetica" w:eastAsia="Times New Roman" w:hAnsi="Helvetica" w:cs="Helvetica"/>
          <w:color w:val="111111"/>
          <w:sz w:val="21"/>
          <w:szCs w:val="21"/>
          <w:lang w:eastAsia="es-AR"/>
        </w:rPr>
        <w:t>t.o</w:t>
      </w:r>
      <w:proofErr w:type="spellEnd"/>
      <w:r w:rsidRPr="000C029B">
        <w:rPr>
          <w:rFonts w:ascii="Helvetica" w:eastAsia="Times New Roman" w:hAnsi="Helvetica" w:cs="Helvetica"/>
          <w:color w:val="111111"/>
          <w:sz w:val="21"/>
          <w:szCs w:val="21"/>
          <w:lang w:eastAsia="es-AR"/>
        </w:rPr>
        <w:t xml:space="preserve">. Resolución SSN </w:t>
      </w:r>
      <w:proofErr w:type="spellStart"/>
      <w:r w:rsidRPr="000C029B">
        <w:rPr>
          <w:rFonts w:ascii="Helvetica" w:eastAsia="Times New Roman" w:hAnsi="Helvetica" w:cs="Helvetica"/>
          <w:color w:val="111111"/>
          <w:sz w:val="21"/>
          <w:szCs w:val="21"/>
          <w:lang w:eastAsia="es-AR"/>
        </w:rPr>
        <w:t>N°</w:t>
      </w:r>
      <w:proofErr w:type="spellEnd"/>
      <w:r w:rsidRPr="000C029B">
        <w:rPr>
          <w:rFonts w:ascii="Helvetica" w:eastAsia="Times New Roman" w:hAnsi="Helvetica" w:cs="Helvetica"/>
          <w:color w:val="111111"/>
          <w:sz w:val="21"/>
          <w:szCs w:val="21"/>
          <w:lang w:eastAsia="es-AR"/>
        </w:rPr>
        <w:t> 38.708 de fecha 6 de noviembre de 2014, y sus modificatorias y complementarias), y</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CONSIDERANDO:</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Que la SUPERINTENDENCIA DE SEGUROS DE LA NACIÓN tiene como misión principal la protección de los intereses y derechos de los asegurables y asegurados, mediante la supervisión y regulación del mercado asegurador.</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 xml:space="preserve">Que bajo la premisa principal de cumplir con </w:t>
      </w:r>
      <w:proofErr w:type="gramStart"/>
      <w:r w:rsidRPr="000C029B">
        <w:rPr>
          <w:rFonts w:ascii="Helvetica" w:eastAsia="Times New Roman" w:hAnsi="Helvetica" w:cs="Helvetica"/>
          <w:color w:val="111111"/>
          <w:sz w:val="21"/>
          <w:szCs w:val="21"/>
          <w:lang w:eastAsia="es-AR"/>
        </w:rPr>
        <w:t>aquélla</w:t>
      </w:r>
      <w:proofErr w:type="gramEnd"/>
      <w:r w:rsidRPr="000C029B">
        <w:rPr>
          <w:rFonts w:ascii="Helvetica" w:eastAsia="Times New Roman" w:hAnsi="Helvetica" w:cs="Helvetica"/>
          <w:color w:val="111111"/>
          <w:sz w:val="21"/>
          <w:szCs w:val="21"/>
          <w:lang w:eastAsia="es-AR"/>
        </w:rPr>
        <w:t xml:space="preserve"> misión, este Organismo promueve la generación y adopción de estándares internacionales en materia de información financiera y solvencia.</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Que el régimen de capitales mínimos representa la capacidad de hacer frente a los compromisos derivados de los desvíos que puedan presentarse y sirve de garantía a la continuidad y la estabilidad de las aseguradoras y/o reaseguradoras.</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 xml:space="preserve">Que en la reglamentación de cobertura de compromisos con los asegurados (Art. 35° de la Ley </w:t>
      </w:r>
      <w:proofErr w:type="spellStart"/>
      <w:r w:rsidRPr="000C029B">
        <w:rPr>
          <w:rFonts w:ascii="Helvetica" w:eastAsia="Times New Roman" w:hAnsi="Helvetica" w:cs="Helvetica"/>
          <w:color w:val="111111"/>
          <w:sz w:val="21"/>
          <w:szCs w:val="21"/>
          <w:lang w:eastAsia="es-AR"/>
        </w:rPr>
        <w:t>N°</w:t>
      </w:r>
      <w:proofErr w:type="spellEnd"/>
      <w:r w:rsidRPr="000C029B">
        <w:rPr>
          <w:rFonts w:ascii="Helvetica" w:eastAsia="Times New Roman" w:hAnsi="Helvetica" w:cs="Helvetica"/>
          <w:color w:val="111111"/>
          <w:sz w:val="21"/>
          <w:szCs w:val="21"/>
          <w:lang w:eastAsia="es-AR"/>
        </w:rPr>
        <w:t> 20.091) se propician inversiones que posean principios de liquidez, solvencia y rentabilidad, resultando suficiente garantía para el mercado.</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Que aún persisten los impactos económicos e incertidumbres en el escenario nacional e internacional, provocados por la pandemia provocada por el Coronavirus COVID-19 y la guerra desatada en Ucrania en 2022.</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Que a instancias de lo expuesto y atendiendo a los importantes desafíos económicos se hace necesario proponer más medidas para apuntalar la estabilidad del mercado asegurador.</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proofErr w:type="gramStart"/>
      <w:r w:rsidRPr="000C029B">
        <w:rPr>
          <w:rFonts w:ascii="Helvetica" w:eastAsia="Times New Roman" w:hAnsi="Helvetica" w:cs="Helvetica"/>
          <w:color w:val="111111"/>
          <w:sz w:val="21"/>
          <w:szCs w:val="21"/>
          <w:lang w:eastAsia="es-AR"/>
        </w:rPr>
        <w:t>Que</w:t>
      </w:r>
      <w:proofErr w:type="gramEnd"/>
      <w:r w:rsidRPr="000C029B">
        <w:rPr>
          <w:rFonts w:ascii="Helvetica" w:eastAsia="Times New Roman" w:hAnsi="Helvetica" w:cs="Helvetica"/>
          <w:color w:val="111111"/>
          <w:sz w:val="21"/>
          <w:szCs w:val="21"/>
          <w:lang w:eastAsia="es-AR"/>
        </w:rPr>
        <w:t xml:space="preserve"> a fin de abordar los desafíos del contexto, se estima necesario continuar adoptando medidas transitorias hasta el ejercicio contable finalizado el 30 de junio de 2024, con el propósito de minimizar el impacto negativo de los acontecimientos económico-financieros, asegurando la solvencia de las entidades aseguradoras y reaseguradoras.</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Que la Gerencia Técnica y Normativa se expidió en el ámbito de su competencia.</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Que la Gerencia de Evaluación tomo intervención en el marco inherente a su órbita competencial.</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Que la Gerencia de Asuntos Jurídicos ha dictaminado en orden al particular.</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lastRenderedPageBreak/>
        <w:t xml:space="preserve">Que la presente se dicta en uso de las facultades previstas en el Artículo 67 de la Ley </w:t>
      </w:r>
      <w:proofErr w:type="spellStart"/>
      <w:r w:rsidRPr="000C029B">
        <w:rPr>
          <w:rFonts w:ascii="Helvetica" w:eastAsia="Times New Roman" w:hAnsi="Helvetica" w:cs="Helvetica"/>
          <w:color w:val="111111"/>
          <w:sz w:val="21"/>
          <w:szCs w:val="21"/>
          <w:lang w:eastAsia="es-AR"/>
        </w:rPr>
        <w:t>N°</w:t>
      </w:r>
      <w:proofErr w:type="spellEnd"/>
      <w:r w:rsidRPr="000C029B">
        <w:rPr>
          <w:rFonts w:ascii="Helvetica" w:eastAsia="Times New Roman" w:hAnsi="Helvetica" w:cs="Helvetica"/>
          <w:color w:val="111111"/>
          <w:sz w:val="21"/>
          <w:szCs w:val="21"/>
          <w:lang w:eastAsia="es-AR"/>
        </w:rPr>
        <w:t> 20.091.</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Por ello,</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LA SUPERINTENDENTA DE SEGUROS DE LA NACIÓN</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RESUELVE:</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ARTÍCULO 1</w:t>
      </w:r>
      <w:proofErr w:type="gramStart"/>
      <w:r w:rsidRPr="000C029B">
        <w:rPr>
          <w:rFonts w:ascii="Helvetica" w:eastAsia="Times New Roman" w:hAnsi="Helvetica" w:cs="Helvetica"/>
          <w:color w:val="111111"/>
          <w:sz w:val="21"/>
          <w:szCs w:val="21"/>
          <w:lang w:eastAsia="es-AR"/>
        </w:rPr>
        <w:t>°.-</w:t>
      </w:r>
      <w:proofErr w:type="gramEnd"/>
      <w:r w:rsidRPr="000C029B">
        <w:rPr>
          <w:rFonts w:ascii="Helvetica" w:eastAsia="Times New Roman" w:hAnsi="Helvetica" w:cs="Helvetica"/>
          <w:color w:val="111111"/>
          <w:sz w:val="21"/>
          <w:szCs w:val="21"/>
          <w:lang w:eastAsia="es-AR"/>
        </w:rPr>
        <w:t xml:space="preserve"> Disposición Transitoria.</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Incorpórese con carácter transitorio al Punto 30.1. del Reglamento General de la Actividad Aseguradora (</w:t>
      </w:r>
      <w:proofErr w:type="spellStart"/>
      <w:r w:rsidRPr="000C029B">
        <w:rPr>
          <w:rFonts w:ascii="Helvetica" w:eastAsia="Times New Roman" w:hAnsi="Helvetica" w:cs="Helvetica"/>
          <w:color w:val="111111"/>
          <w:sz w:val="21"/>
          <w:szCs w:val="21"/>
          <w:lang w:eastAsia="es-AR"/>
        </w:rPr>
        <w:t>t.o</w:t>
      </w:r>
      <w:proofErr w:type="spellEnd"/>
      <w:r w:rsidRPr="000C029B">
        <w:rPr>
          <w:rFonts w:ascii="Helvetica" w:eastAsia="Times New Roman" w:hAnsi="Helvetica" w:cs="Helvetica"/>
          <w:color w:val="111111"/>
          <w:sz w:val="21"/>
          <w:szCs w:val="21"/>
          <w:lang w:eastAsia="es-AR"/>
        </w:rPr>
        <w:t xml:space="preserve">. Resolución SSN </w:t>
      </w:r>
      <w:proofErr w:type="spellStart"/>
      <w:r w:rsidRPr="000C029B">
        <w:rPr>
          <w:rFonts w:ascii="Helvetica" w:eastAsia="Times New Roman" w:hAnsi="Helvetica" w:cs="Helvetica"/>
          <w:color w:val="111111"/>
          <w:sz w:val="21"/>
          <w:szCs w:val="21"/>
          <w:lang w:eastAsia="es-AR"/>
        </w:rPr>
        <w:t>N°</w:t>
      </w:r>
      <w:proofErr w:type="spellEnd"/>
      <w:r w:rsidRPr="000C029B">
        <w:rPr>
          <w:rFonts w:ascii="Helvetica" w:eastAsia="Times New Roman" w:hAnsi="Helvetica" w:cs="Helvetica"/>
          <w:color w:val="111111"/>
          <w:sz w:val="21"/>
          <w:szCs w:val="21"/>
          <w:lang w:eastAsia="es-AR"/>
        </w:rPr>
        <w:t> 38.708 de fecha 6 de noviembre de 2014, y sus modificatorias y complementarias), lo siguiente:</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 xml:space="preserve">“Establecer para la determinación del Monto en Función a las Primas y Recargos en los términos del Punto 30.1.1.2. del Reglamento General de la Actividad Aseguradora, y con carácter transitorio hasta los estados contables cerrados al 30 de junio de 2024 inclusive que, tanto las primas por seguros directos, reaseguros activos, retrocesiones y adicionales administrativos; los siniestros y gastos de liquidación pagados netos de </w:t>
      </w:r>
      <w:proofErr w:type="spellStart"/>
      <w:r w:rsidRPr="000C029B">
        <w:rPr>
          <w:rFonts w:ascii="Helvetica" w:eastAsia="Times New Roman" w:hAnsi="Helvetica" w:cs="Helvetica"/>
          <w:color w:val="111111"/>
          <w:sz w:val="21"/>
          <w:szCs w:val="21"/>
          <w:lang w:eastAsia="es-AR"/>
        </w:rPr>
        <w:t>recuperos</w:t>
      </w:r>
      <w:proofErr w:type="spellEnd"/>
      <w:r w:rsidRPr="000C029B">
        <w:rPr>
          <w:rFonts w:ascii="Helvetica" w:eastAsia="Times New Roman" w:hAnsi="Helvetica" w:cs="Helvetica"/>
          <w:color w:val="111111"/>
          <w:sz w:val="21"/>
          <w:szCs w:val="21"/>
          <w:lang w:eastAsia="es-AR"/>
        </w:rPr>
        <w:t xml:space="preserve">, salvatajes y reaseguros pasivos; y el importe bruto de dichos siniestros, netos de </w:t>
      </w:r>
      <w:proofErr w:type="spellStart"/>
      <w:r w:rsidRPr="000C029B">
        <w:rPr>
          <w:rFonts w:ascii="Helvetica" w:eastAsia="Times New Roman" w:hAnsi="Helvetica" w:cs="Helvetica"/>
          <w:color w:val="111111"/>
          <w:sz w:val="21"/>
          <w:szCs w:val="21"/>
          <w:lang w:eastAsia="es-AR"/>
        </w:rPr>
        <w:t>recuperos</w:t>
      </w:r>
      <w:proofErr w:type="spellEnd"/>
      <w:r w:rsidRPr="000C029B">
        <w:rPr>
          <w:rFonts w:ascii="Helvetica" w:eastAsia="Times New Roman" w:hAnsi="Helvetica" w:cs="Helvetica"/>
          <w:color w:val="111111"/>
          <w:sz w:val="21"/>
          <w:szCs w:val="21"/>
          <w:lang w:eastAsia="es-AR"/>
        </w:rPr>
        <w:t xml:space="preserve"> de siniestros y salvatajes deberán ser considerados a valor histórico, sin reflejar los cambios en el poder adquisitivo de la moneda.</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Establecer para la determinación del Monto en Función de los Siniestros en los términos del Punto 30.1.1.3. del Reglamento General de la Actividad Aseguradora, y con carácter transitorio hasta los estados contables cerrados al 30 de junio de 2024 inclusive que, tanto los siniestros pagados (sin deducir el reaseguro pasivo) por seguros directos, reaseguros activos y retrocesiones; los siniestros pendientes por seguros directos, reaseguros activos y retrocesiones (sin deducir el reaseguro pasivo); como el pasivo de reclamaciones judiciales y los pagos de casos cerrados en proporción al ratio “Juicios cerrados / stock” deberán ser considerados a valor histórico, sin reflejar los cambios en el poder adquisitivo de la moneda.</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Establecer para la determinación del Monto en Función a las Primas y Recargos en los términos del Punto 30.1.2.2. del Reglamento General de la Actividad Aseguradora, y con carácter transitorio hasta los estados contables cerrados al 30 de junio de 2024 inclusive que, las primas netas retenidas por reaseguros activos, retrocesiones y adicionales administrativos, deberán ser considerados a valor histórico, sin reflejar los cambios en el poder adquisitivo de la moneda.</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Establecer para las aseguradoras que efectúen operaciones de reaseguro activo en los términos del Punto 30.1.4. del Reglamento General de la Actividad Aseguradora, y con carácter transitorio hasta el 30 de junio de 2024 inclusive que, las primas emitidas por seguros directos netas de anulaciones deberán ser consideradas a valor histórico, sin reflejar los cambios en el poder adquisitivo de la moneda.”.</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ARTÍCULO 2</w:t>
      </w:r>
      <w:proofErr w:type="gramStart"/>
      <w:r w:rsidRPr="000C029B">
        <w:rPr>
          <w:rFonts w:ascii="Helvetica" w:eastAsia="Times New Roman" w:hAnsi="Helvetica" w:cs="Helvetica"/>
          <w:color w:val="111111"/>
          <w:sz w:val="21"/>
          <w:szCs w:val="21"/>
          <w:lang w:eastAsia="es-AR"/>
        </w:rPr>
        <w:t>°.-</w:t>
      </w:r>
      <w:proofErr w:type="gramEnd"/>
      <w:r w:rsidRPr="000C029B">
        <w:rPr>
          <w:rFonts w:ascii="Helvetica" w:eastAsia="Times New Roman" w:hAnsi="Helvetica" w:cs="Helvetica"/>
          <w:color w:val="111111"/>
          <w:sz w:val="21"/>
          <w:szCs w:val="21"/>
          <w:lang w:eastAsia="es-AR"/>
        </w:rPr>
        <w:t xml:space="preserve"> Disposición Transitoria.</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Sustitúyanse con carácter transitorio los incisos h), i), m), n) y u) del Punto 30.2.1. del Reglamento General de la Actividad Aseguradora (</w:t>
      </w:r>
      <w:proofErr w:type="spellStart"/>
      <w:r w:rsidRPr="000C029B">
        <w:rPr>
          <w:rFonts w:ascii="Helvetica" w:eastAsia="Times New Roman" w:hAnsi="Helvetica" w:cs="Helvetica"/>
          <w:color w:val="111111"/>
          <w:sz w:val="21"/>
          <w:szCs w:val="21"/>
          <w:lang w:eastAsia="es-AR"/>
        </w:rPr>
        <w:t>t.o</w:t>
      </w:r>
      <w:proofErr w:type="spellEnd"/>
      <w:r w:rsidRPr="000C029B">
        <w:rPr>
          <w:rFonts w:ascii="Helvetica" w:eastAsia="Times New Roman" w:hAnsi="Helvetica" w:cs="Helvetica"/>
          <w:color w:val="111111"/>
          <w:sz w:val="21"/>
          <w:szCs w:val="21"/>
          <w:lang w:eastAsia="es-AR"/>
        </w:rPr>
        <w:t xml:space="preserve">. Resolución SSN </w:t>
      </w:r>
      <w:proofErr w:type="spellStart"/>
      <w:r w:rsidRPr="000C029B">
        <w:rPr>
          <w:rFonts w:ascii="Helvetica" w:eastAsia="Times New Roman" w:hAnsi="Helvetica" w:cs="Helvetica"/>
          <w:color w:val="111111"/>
          <w:sz w:val="21"/>
          <w:szCs w:val="21"/>
          <w:lang w:eastAsia="es-AR"/>
        </w:rPr>
        <w:t>N°</w:t>
      </w:r>
      <w:proofErr w:type="spellEnd"/>
      <w:r w:rsidRPr="000C029B">
        <w:rPr>
          <w:rFonts w:ascii="Helvetica" w:eastAsia="Times New Roman" w:hAnsi="Helvetica" w:cs="Helvetica"/>
          <w:color w:val="111111"/>
          <w:sz w:val="21"/>
          <w:szCs w:val="21"/>
          <w:lang w:eastAsia="es-AR"/>
        </w:rPr>
        <w:t> 38.708 de fecha 6 de noviembre de 2014, y sus modificatorias y complementarias), y hasta los estados contables cerrados al 30 de junio de 2024 inclusive, por los siguientes:</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lastRenderedPageBreak/>
        <w:t>“h) Los inmuebles de uso propio o edificados en lote propio, que excedan el TREINTA POR CIENTO (30%) de los rubros “Deudas con Asegurados”, “Deudas con Reaseguradores”, y “Compromisos Técnicos”, deducidas las disponibilidades líquidas constituidas en el país y los depósitos de reservas en garantía retenidos por los reaseguradores, o que superen dicho límite calculado sobre el capital a acreditar, lo que fuera menor.”.</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 xml:space="preserve">“i) Para el caso de las reaseguradoras, los inmuebles de uso propio o edificados en lote propio, que excedan el TREINTA POR CIENTO (30%) de los rubros “Deudas con Aseguradoras”, “Deudas con </w:t>
      </w:r>
      <w:proofErr w:type="spellStart"/>
      <w:r w:rsidRPr="000C029B">
        <w:rPr>
          <w:rFonts w:ascii="Helvetica" w:eastAsia="Times New Roman" w:hAnsi="Helvetica" w:cs="Helvetica"/>
          <w:color w:val="111111"/>
          <w:sz w:val="21"/>
          <w:szCs w:val="21"/>
          <w:lang w:eastAsia="es-AR"/>
        </w:rPr>
        <w:t>Retrocesionarios</w:t>
      </w:r>
      <w:proofErr w:type="spellEnd"/>
      <w:r w:rsidRPr="000C029B">
        <w:rPr>
          <w:rFonts w:ascii="Helvetica" w:eastAsia="Times New Roman" w:hAnsi="Helvetica" w:cs="Helvetica"/>
          <w:color w:val="111111"/>
          <w:sz w:val="21"/>
          <w:szCs w:val="21"/>
          <w:lang w:eastAsia="es-AR"/>
        </w:rPr>
        <w:t>”, y “Compromisos Técnicos”, deducidas las disponibilidades líquidas y la reserva de estabilización, o que superen dicho límite calculado sobre el capital a acreditar, lo que fuera menor.”.</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“m) La consideración del rubro “Créditos” (excepto los correspondientes a Premios a Cobrar del ramo Vida, hasta la concurrencia de sus respectivas Reservas Matemáticas) se limita hasta un importe que no supere el CIEN POR CIENTO (100%) de los restantes rubros que integren el Activo Computable.</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Para este cálculo: 1) a los Premios a Cobrar se les debe detraer, previamente, el importe registrado en el Pasivo en concepto de “Riesgos en Curso”; sin deducir la participación a cargo de reaseguradores. 2) No se considerará tener el importe que pudiera surgir por aplicación del inciso u).</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 xml:space="preserve">Cuando se determine un excedente del rubro Créditos por aplicación de los párrafos anteriores, se debe afectar tal exceso en primer término a </w:t>
      </w:r>
      <w:proofErr w:type="spellStart"/>
      <w:r w:rsidRPr="000C029B">
        <w:rPr>
          <w:rFonts w:ascii="Helvetica" w:eastAsia="Times New Roman" w:hAnsi="Helvetica" w:cs="Helvetica"/>
          <w:color w:val="111111"/>
          <w:sz w:val="21"/>
          <w:szCs w:val="21"/>
          <w:lang w:eastAsia="es-AR"/>
        </w:rPr>
        <w:t>subrubro</w:t>
      </w:r>
      <w:proofErr w:type="spellEnd"/>
      <w:r w:rsidRPr="000C029B">
        <w:rPr>
          <w:rFonts w:ascii="Helvetica" w:eastAsia="Times New Roman" w:hAnsi="Helvetica" w:cs="Helvetica"/>
          <w:color w:val="111111"/>
          <w:sz w:val="21"/>
          <w:szCs w:val="21"/>
          <w:lang w:eastAsia="es-AR"/>
        </w:rPr>
        <w:t xml:space="preserve"> “Premios a Cobrar”.</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Por la porción excluida de “Premios a Cobrar” se admite la deducción proporcional de importes registrados en el Pasivo por “Comisiones por Primas a Cobrar” e “Impuestos y Contribuciones a Devengar sobre Premios a Cobrar”. No se admiten deducciones adicionales a las precedentemente indicadas.”.</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 xml:space="preserve">“n) Los bienes inmuebles destinados a renta, a los fines de ser considerados para la determinación del capital computable, cumplirán en lo que respecta a los contratos de alquiler (documentación de respaldo) con los requisitos establecidos en el Punto 39.1.2.3.1 inciso h) acápite v. del presente reglamento y estarán </w:t>
      </w:r>
      <w:proofErr w:type="spellStart"/>
      <w:r w:rsidRPr="000C029B">
        <w:rPr>
          <w:rFonts w:ascii="Helvetica" w:eastAsia="Times New Roman" w:hAnsi="Helvetica" w:cs="Helvetica"/>
          <w:color w:val="111111"/>
          <w:sz w:val="21"/>
          <w:szCs w:val="21"/>
          <w:lang w:eastAsia="es-AR"/>
        </w:rPr>
        <w:t>locados</w:t>
      </w:r>
      <w:proofErr w:type="spellEnd"/>
      <w:r w:rsidRPr="000C029B">
        <w:rPr>
          <w:rFonts w:ascii="Helvetica" w:eastAsia="Times New Roman" w:hAnsi="Helvetica" w:cs="Helvetica"/>
          <w:color w:val="111111"/>
          <w:sz w:val="21"/>
          <w:szCs w:val="21"/>
          <w:lang w:eastAsia="es-AR"/>
        </w:rPr>
        <w:t xml:space="preserve"> por plazos no superiores a TRES (3) años tanto para los que tengan como destino vivienda como para locaciones comerciales, conforme los precios de mercado.</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En caso de que exista un atraso mayor de CIENTO OCHENTA (180) días en la percepción del canon locativo, o no se cumpla con la presentación de documentación de respaldo, o con las condiciones establecidas en el presente reglamento, se deberá proceder a excluir el/</w:t>
      </w:r>
      <w:proofErr w:type="gramStart"/>
      <w:r w:rsidRPr="000C029B">
        <w:rPr>
          <w:rFonts w:ascii="Helvetica" w:eastAsia="Times New Roman" w:hAnsi="Helvetica" w:cs="Helvetica"/>
          <w:color w:val="111111"/>
          <w:sz w:val="21"/>
          <w:szCs w:val="21"/>
          <w:lang w:eastAsia="es-AR"/>
        </w:rPr>
        <w:t>los inmueble</w:t>
      </w:r>
      <w:proofErr w:type="gramEnd"/>
      <w:r w:rsidRPr="000C029B">
        <w:rPr>
          <w:rFonts w:ascii="Helvetica" w:eastAsia="Times New Roman" w:hAnsi="Helvetica" w:cs="Helvetica"/>
          <w:color w:val="111111"/>
          <w:sz w:val="21"/>
          <w:szCs w:val="21"/>
          <w:lang w:eastAsia="es-AR"/>
        </w:rPr>
        <w:t>/s a los fines del cálculo del capital computable.</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Para el caso de inmuebles destinados a renta que temporariamente no se encuentren alquilados, podrán ser considerados para la determinación del capital computable hasta un plazo máximo de UN (1) año desde la fecha de finalización del último contrato de alquiler o de su incorporación al patrimonio.</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Los bienes inmuebles destinados a venta, podrán ser considerados para la determinación del capital computable hasta el plazo máximo de DOS (2) años contados desde la fecha de escritura de compra e inscripción bajo su titularidad en el registro correspondiente.</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lastRenderedPageBreak/>
        <w:t xml:space="preserve">En el caso de un inmueble </w:t>
      </w:r>
      <w:proofErr w:type="gramStart"/>
      <w:r w:rsidRPr="000C029B">
        <w:rPr>
          <w:rFonts w:ascii="Helvetica" w:eastAsia="Times New Roman" w:hAnsi="Helvetica" w:cs="Helvetica"/>
          <w:color w:val="111111"/>
          <w:sz w:val="21"/>
          <w:szCs w:val="21"/>
          <w:lang w:eastAsia="es-AR"/>
        </w:rPr>
        <w:t>que</w:t>
      </w:r>
      <w:proofErr w:type="gramEnd"/>
      <w:r w:rsidRPr="000C029B">
        <w:rPr>
          <w:rFonts w:ascii="Helvetica" w:eastAsia="Times New Roman" w:hAnsi="Helvetica" w:cs="Helvetica"/>
          <w:color w:val="111111"/>
          <w:sz w:val="21"/>
          <w:szCs w:val="21"/>
          <w:lang w:eastAsia="es-AR"/>
        </w:rPr>
        <w:t xml:space="preserve"> estando categorizado como venta, se decidiese alquilarlo, al vencimiento o rescisión del contrato de alquiler podrá nuevamente categorizarse como destinado a venta cumpliendo los requisitos antes mencionados.”.</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“u) Se limita el cómputo de los valores a cobrar hasta el OCHENTA POR CIENTO (80%) del importe registrado en el Pasivo en concepto de “Riesgos en Curso”; sin deducir la participación a cargo de reaseguradores.”.</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ARTÍCULO 3º.- Disposición Transitoria.</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Sustitúyase con carácter transitorio el inciso m) del Punto 35.8.1. del Reglamento General de la Actividad Aseguradora (</w:t>
      </w:r>
      <w:proofErr w:type="spellStart"/>
      <w:r w:rsidRPr="000C029B">
        <w:rPr>
          <w:rFonts w:ascii="Helvetica" w:eastAsia="Times New Roman" w:hAnsi="Helvetica" w:cs="Helvetica"/>
          <w:color w:val="111111"/>
          <w:sz w:val="21"/>
          <w:szCs w:val="21"/>
          <w:lang w:eastAsia="es-AR"/>
        </w:rPr>
        <w:t>t.o</w:t>
      </w:r>
      <w:proofErr w:type="spellEnd"/>
      <w:r w:rsidRPr="000C029B">
        <w:rPr>
          <w:rFonts w:ascii="Helvetica" w:eastAsia="Times New Roman" w:hAnsi="Helvetica" w:cs="Helvetica"/>
          <w:color w:val="111111"/>
          <w:sz w:val="21"/>
          <w:szCs w:val="21"/>
          <w:lang w:eastAsia="es-AR"/>
        </w:rPr>
        <w:t xml:space="preserve">. Resolución SSN </w:t>
      </w:r>
      <w:proofErr w:type="spellStart"/>
      <w:r w:rsidRPr="000C029B">
        <w:rPr>
          <w:rFonts w:ascii="Helvetica" w:eastAsia="Times New Roman" w:hAnsi="Helvetica" w:cs="Helvetica"/>
          <w:color w:val="111111"/>
          <w:sz w:val="21"/>
          <w:szCs w:val="21"/>
          <w:lang w:eastAsia="es-AR"/>
        </w:rPr>
        <w:t>N°</w:t>
      </w:r>
      <w:proofErr w:type="spellEnd"/>
      <w:r w:rsidRPr="000C029B">
        <w:rPr>
          <w:rFonts w:ascii="Helvetica" w:eastAsia="Times New Roman" w:hAnsi="Helvetica" w:cs="Helvetica"/>
          <w:color w:val="111111"/>
          <w:sz w:val="21"/>
          <w:szCs w:val="21"/>
          <w:lang w:eastAsia="es-AR"/>
        </w:rPr>
        <w:t> 38.708 de fecha 6 de noviembre de 2014, y sus modificatorias y complementarias), y hasta los estados contables cerrados al 30 de junio de 2024 inclusive, por el siguiente:</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“m) Las siguientes inversiones en su conjunto hasta un máximo del SESENTA POR CIENTO (60%) del total de inversiones:</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 xml:space="preserve">i. Títulos, certificados u otros valores negociables emitidos por fideicomisos creados en el marco del régimen de Participación Público-Privada establecido mediante Ley </w:t>
      </w:r>
      <w:proofErr w:type="spellStart"/>
      <w:r w:rsidRPr="000C029B">
        <w:rPr>
          <w:rFonts w:ascii="Helvetica" w:eastAsia="Times New Roman" w:hAnsi="Helvetica" w:cs="Helvetica"/>
          <w:color w:val="111111"/>
          <w:sz w:val="21"/>
          <w:szCs w:val="21"/>
          <w:lang w:eastAsia="es-AR"/>
        </w:rPr>
        <w:t>N°</w:t>
      </w:r>
      <w:proofErr w:type="spellEnd"/>
      <w:r w:rsidRPr="000C029B">
        <w:rPr>
          <w:rFonts w:ascii="Helvetica" w:eastAsia="Times New Roman" w:hAnsi="Helvetica" w:cs="Helvetica"/>
          <w:color w:val="111111"/>
          <w:sz w:val="21"/>
          <w:szCs w:val="21"/>
          <w:lang w:eastAsia="es-AR"/>
        </w:rPr>
        <w:t> 27.328, sus modificatorias y complementarias.</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proofErr w:type="spellStart"/>
      <w:r w:rsidRPr="000C029B">
        <w:rPr>
          <w:rFonts w:ascii="Helvetica" w:eastAsia="Times New Roman" w:hAnsi="Helvetica" w:cs="Helvetica"/>
          <w:color w:val="111111"/>
          <w:sz w:val="21"/>
          <w:szCs w:val="21"/>
          <w:lang w:eastAsia="es-AR"/>
        </w:rPr>
        <w:t>ii</w:t>
      </w:r>
      <w:proofErr w:type="spellEnd"/>
      <w:r w:rsidRPr="000C029B">
        <w:rPr>
          <w:rFonts w:ascii="Helvetica" w:eastAsia="Times New Roman" w:hAnsi="Helvetica" w:cs="Helvetica"/>
          <w:color w:val="111111"/>
          <w:sz w:val="21"/>
          <w:szCs w:val="21"/>
          <w:lang w:eastAsia="es-AR"/>
        </w:rPr>
        <w:t xml:space="preserve">. </w:t>
      </w:r>
      <w:proofErr w:type="spellStart"/>
      <w:r w:rsidRPr="000C029B">
        <w:rPr>
          <w:rFonts w:ascii="Helvetica" w:eastAsia="Times New Roman" w:hAnsi="Helvetica" w:cs="Helvetica"/>
          <w:color w:val="111111"/>
          <w:sz w:val="21"/>
          <w:szCs w:val="21"/>
          <w:lang w:eastAsia="es-AR"/>
        </w:rPr>
        <w:t>Securitización</w:t>
      </w:r>
      <w:proofErr w:type="spellEnd"/>
      <w:r w:rsidRPr="000C029B">
        <w:rPr>
          <w:rFonts w:ascii="Helvetica" w:eastAsia="Times New Roman" w:hAnsi="Helvetica" w:cs="Helvetica"/>
          <w:color w:val="111111"/>
          <w:sz w:val="21"/>
          <w:szCs w:val="21"/>
          <w:lang w:eastAsia="es-AR"/>
        </w:rPr>
        <w:t xml:space="preserve"> de hipotecas, entendida como la emisión de títulos valores a través de un vehículo cuyo respaldo está conformado por una cartera de préstamos con garantía hipotecaria de características similares.</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proofErr w:type="spellStart"/>
      <w:r w:rsidRPr="000C029B">
        <w:rPr>
          <w:rFonts w:ascii="Helvetica" w:eastAsia="Times New Roman" w:hAnsi="Helvetica" w:cs="Helvetica"/>
          <w:color w:val="111111"/>
          <w:sz w:val="21"/>
          <w:szCs w:val="21"/>
          <w:lang w:eastAsia="es-AR"/>
        </w:rPr>
        <w:t>iii</w:t>
      </w:r>
      <w:proofErr w:type="spellEnd"/>
      <w:r w:rsidRPr="000C029B">
        <w:rPr>
          <w:rFonts w:ascii="Helvetica" w:eastAsia="Times New Roman" w:hAnsi="Helvetica" w:cs="Helvetica"/>
          <w:color w:val="111111"/>
          <w:sz w:val="21"/>
          <w:szCs w:val="21"/>
          <w:lang w:eastAsia="es-AR"/>
        </w:rPr>
        <w:t>. Títulos, certificados u otros valores negociables emitidos por fondos de infraestructura o desarrollos inmobiliarios.</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proofErr w:type="spellStart"/>
      <w:r w:rsidRPr="000C029B">
        <w:rPr>
          <w:rFonts w:ascii="Helvetica" w:eastAsia="Times New Roman" w:hAnsi="Helvetica" w:cs="Helvetica"/>
          <w:color w:val="111111"/>
          <w:sz w:val="21"/>
          <w:szCs w:val="21"/>
          <w:lang w:eastAsia="es-AR"/>
        </w:rPr>
        <w:t>iv</w:t>
      </w:r>
      <w:proofErr w:type="spellEnd"/>
      <w:r w:rsidRPr="000C029B">
        <w:rPr>
          <w:rFonts w:ascii="Helvetica" w:eastAsia="Times New Roman" w:hAnsi="Helvetica" w:cs="Helvetica"/>
          <w:color w:val="111111"/>
          <w:sz w:val="21"/>
          <w:szCs w:val="21"/>
          <w:lang w:eastAsia="es-AR"/>
        </w:rPr>
        <w:t>. Inmuebles escriturados e inscriptos a nombre de la aseguradora situados en el país, destinados a renta o venta, siempre que cumplan con las condiciones establecidas en los puntos 30.2.1. inciso n) y 39.1.2.3.1. inciso h) del presente Reglamento.</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 xml:space="preserve">v. Inversiones en Valores Representativos de Deuda emitidos por el Fondo Fiduciario Público denominado “Fondo Nacional de Desarrollo Productivo” establecido en el Decreto </w:t>
      </w:r>
      <w:proofErr w:type="spellStart"/>
      <w:r w:rsidRPr="000C029B">
        <w:rPr>
          <w:rFonts w:ascii="Helvetica" w:eastAsia="Times New Roman" w:hAnsi="Helvetica" w:cs="Helvetica"/>
          <w:color w:val="111111"/>
          <w:sz w:val="21"/>
          <w:szCs w:val="21"/>
          <w:lang w:eastAsia="es-AR"/>
        </w:rPr>
        <w:t>N°</w:t>
      </w:r>
      <w:proofErr w:type="spellEnd"/>
      <w:r w:rsidRPr="000C029B">
        <w:rPr>
          <w:rFonts w:ascii="Helvetica" w:eastAsia="Times New Roman" w:hAnsi="Helvetica" w:cs="Helvetica"/>
          <w:color w:val="111111"/>
          <w:sz w:val="21"/>
          <w:szCs w:val="21"/>
          <w:lang w:eastAsia="es-AR"/>
        </w:rPr>
        <w:t xml:space="preserve"> 606 de fecha 28 de abril de 2014 y sus modificatorias, y regulado por las Resoluciones del MINISTERIO DE DESARROLLO PRODUCTIVO </w:t>
      </w:r>
      <w:proofErr w:type="spellStart"/>
      <w:r w:rsidRPr="000C029B">
        <w:rPr>
          <w:rFonts w:ascii="Helvetica" w:eastAsia="Times New Roman" w:hAnsi="Helvetica" w:cs="Helvetica"/>
          <w:color w:val="111111"/>
          <w:sz w:val="21"/>
          <w:szCs w:val="21"/>
          <w:lang w:eastAsia="es-AR"/>
        </w:rPr>
        <w:t>N°</w:t>
      </w:r>
      <w:proofErr w:type="spellEnd"/>
      <w:r w:rsidRPr="000C029B">
        <w:rPr>
          <w:rFonts w:ascii="Helvetica" w:eastAsia="Times New Roman" w:hAnsi="Helvetica" w:cs="Helvetica"/>
          <w:color w:val="111111"/>
          <w:sz w:val="21"/>
          <w:szCs w:val="21"/>
          <w:lang w:eastAsia="es-AR"/>
        </w:rPr>
        <w:t xml:space="preserve"> 102 de fecha 2 de abril de 2021 y del MINISTERIO DE PRODUCCIÓN </w:t>
      </w:r>
      <w:proofErr w:type="spellStart"/>
      <w:r w:rsidRPr="000C029B">
        <w:rPr>
          <w:rFonts w:ascii="Helvetica" w:eastAsia="Times New Roman" w:hAnsi="Helvetica" w:cs="Helvetica"/>
          <w:color w:val="111111"/>
          <w:sz w:val="21"/>
          <w:szCs w:val="21"/>
          <w:lang w:eastAsia="es-AR"/>
        </w:rPr>
        <w:t>N°</w:t>
      </w:r>
      <w:proofErr w:type="spellEnd"/>
      <w:r w:rsidRPr="000C029B">
        <w:rPr>
          <w:rFonts w:ascii="Helvetica" w:eastAsia="Times New Roman" w:hAnsi="Helvetica" w:cs="Helvetica"/>
          <w:color w:val="111111"/>
          <w:sz w:val="21"/>
          <w:szCs w:val="21"/>
          <w:lang w:eastAsia="es-AR"/>
        </w:rPr>
        <w:t> 298 de fecha 30 de julio de 2018.</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vi. Inversiones en Fondos Comunes de Inversión abiertos o cerrados y Fideicomisos Financieros autorizados por la COMISIÓN NACIONAL DE VALORES que tengan por objeto el desarrollo y/o inversión directa en proyectos inmobiliarios, agropecuarios, forestales, de infraestructura u otros activos homogéneos y cuya duración sea por lo menos de DOS (2) años.</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 xml:space="preserve">Para las compañías de seguros que operen en Seguros de Retiro y Planes de seguro que contemplen la constitución de “Reservas Matemáticas y Fondos de Fluctuación o de excedentes” con participación en las utilidades y/o participación en el riesgo de los activos que los componen o cualquier otro de similares características, las inversiones incluidas en el presente inciso deberán representar en todo momento por lo menos el DIEZ POR CIENTO (10%) del total de las inversiones que cubren las reservas de los ramos mencionados. En estos casos, las inversiones en Valores Representativos de Deuda emitidos por el Fondo </w:t>
      </w:r>
      <w:r w:rsidRPr="000C029B">
        <w:rPr>
          <w:rFonts w:ascii="Helvetica" w:eastAsia="Times New Roman" w:hAnsi="Helvetica" w:cs="Helvetica"/>
          <w:color w:val="111111"/>
          <w:sz w:val="21"/>
          <w:szCs w:val="21"/>
          <w:lang w:eastAsia="es-AR"/>
        </w:rPr>
        <w:lastRenderedPageBreak/>
        <w:t>Fiduciario Público denominado “Fondo Nacional de Desarrollo Productivo” se computan en forma independiente a las inversiones del inciso l) del presente punto.</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Las compañías de seguros mencionadas en el párrafo anterior podrán efectuar operaciones de derivados exclusivamente para la cobertura de riesgos de moneda extranjera (futuros o forwards) no pudiendo exceder el DIEZ POR CIENTO (10%) del total de las inversiones afectadas a las reservas de los ramos mencionados. Los activos depositados como garantía de las operaciones de cobertura continuarán siendo computables de acuerdo a lo definido en los demás incisos del presente punto.</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Debe exponerse en nota a los estados contables el detalle de las operaciones de derivados.”.</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ARTÍCULO 4</w:t>
      </w:r>
      <w:proofErr w:type="gramStart"/>
      <w:r w:rsidRPr="000C029B">
        <w:rPr>
          <w:rFonts w:ascii="Helvetica" w:eastAsia="Times New Roman" w:hAnsi="Helvetica" w:cs="Helvetica"/>
          <w:color w:val="111111"/>
          <w:sz w:val="21"/>
          <w:szCs w:val="21"/>
          <w:lang w:eastAsia="es-AR"/>
        </w:rPr>
        <w:t>°.-</w:t>
      </w:r>
      <w:proofErr w:type="gramEnd"/>
      <w:r w:rsidRPr="000C029B">
        <w:rPr>
          <w:rFonts w:ascii="Helvetica" w:eastAsia="Times New Roman" w:hAnsi="Helvetica" w:cs="Helvetica"/>
          <w:color w:val="111111"/>
          <w:sz w:val="21"/>
          <w:szCs w:val="21"/>
          <w:lang w:eastAsia="es-AR"/>
        </w:rPr>
        <w:t xml:space="preserve"> Disposición Transitoria.</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Sustitúyanse con carácter transitorio los Puntos 35.10.1. y 35.10.3. del Reglamento General de la Actividad Aseguradora (</w:t>
      </w:r>
      <w:proofErr w:type="spellStart"/>
      <w:r w:rsidRPr="000C029B">
        <w:rPr>
          <w:rFonts w:ascii="Helvetica" w:eastAsia="Times New Roman" w:hAnsi="Helvetica" w:cs="Helvetica"/>
          <w:color w:val="111111"/>
          <w:sz w:val="21"/>
          <w:szCs w:val="21"/>
          <w:lang w:eastAsia="es-AR"/>
        </w:rPr>
        <w:t>t.o</w:t>
      </w:r>
      <w:proofErr w:type="spellEnd"/>
      <w:r w:rsidRPr="000C029B">
        <w:rPr>
          <w:rFonts w:ascii="Helvetica" w:eastAsia="Times New Roman" w:hAnsi="Helvetica" w:cs="Helvetica"/>
          <w:color w:val="111111"/>
          <w:sz w:val="21"/>
          <w:szCs w:val="21"/>
          <w:lang w:eastAsia="es-AR"/>
        </w:rPr>
        <w:t xml:space="preserve">. Resolución SSN </w:t>
      </w:r>
      <w:proofErr w:type="spellStart"/>
      <w:r w:rsidRPr="000C029B">
        <w:rPr>
          <w:rFonts w:ascii="Helvetica" w:eastAsia="Times New Roman" w:hAnsi="Helvetica" w:cs="Helvetica"/>
          <w:color w:val="111111"/>
          <w:sz w:val="21"/>
          <w:szCs w:val="21"/>
          <w:lang w:eastAsia="es-AR"/>
        </w:rPr>
        <w:t>N°</w:t>
      </w:r>
      <w:proofErr w:type="spellEnd"/>
      <w:r w:rsidRPr="000C029B">
        <w:rPr>
          <w:rFonts w:ascii="Helvetica" w:eastAsia="Times New Roman" w:hAnsi="Helvetica" w:cs="Helvetica"/>
          <w:color w:val="111111"/>
          <w:sz w:val="21"/>
          <w:szCs w:val="21"/>
          <w:lang w:eastAsia="es-AR"/>
        </w:rPr>
        <w:t> 38.708 de fecha 6 de noviembre de 2014, y sus modificatorias y complementarias), y hasta los estados contables cerrados al 30 de junio de 2024 inclusive, por los siguientes:</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“35.10.1. Para el cálculo de cobertura, las entidades pueden computar hasta el SETENTA Y CINCO POR CIENTO (75%) del monto activado por premios a cobrar de cada ramo eventual, neto de intereses a devengar y previsiones por incobrabilidad. La cifra resultante no puede exceder el OCHENTA POR CIENTO (80%) del riesgo en curso (neto de reaseguro) del ramo respectivo.”.</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“35.10.3. Las entidades que operen en Riesgos del Trabajo pueden computar para el cálculo de la cobertura, el monto activado por premios a cobrar hasta un máximo de CINCUENTA POR CIENTO (50%) del capital mínimo a acreditar para el ramo Riesgos del Trabajo.”.</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ARTÍCULO 5</w:t>
      </w:r>
      <w:proofErr w:type="gramStart"/>
      <w:r w:rsidRPr="000C029B">
        <w:rPr>
          <w:rFonts w:ascii="Helvetica" w:eastAsia="Times New Roman" w:hAnsi="Helvetica" w:cs="Helvetica"/>
          <w:color w:val="111111"/>
          <w:sz w:val="21"/>
          <w:szCs w:val="21"/>
          <w:lang w:eastAsia="es-AR"/>
        </w:rPr>
        <w:t>°.-</w:t>
      </w:r>
      <w:proofErr w:type="gramEnd"/>
      <w:r w:rsidRPr="000C029B">
        <w:rPr>
          <w:rFonts w:ascii="Helvetica" w:eastAsia="Times New Roman" w:hAnsi="Helvetica" w:cs="Helvetica"/>
          <w:color w:val="111111"/>
          <w:sz w:val="21"/>
          <w:szCs w:val="21"/>
          <w:lang w:eastAsia="es-AR"/>
        </w:rPr>
        <w:t xml:space="preserve"> Disposición Transitoria.</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Sustitúyase con carácter transitorio el inciso b) del Punto 39.11.2. del Reglamento General de la Actividad Aseguradora (</w:t>
      </w:r>
      <w:proofErr w:type="spellStart"/>
      <w:r w:rsidRPr="000C029B">
        <w:rPr>
          <w:rFonts w:ascii="Helvetica" w:eastAsia="Times New Roman" w:hAnsi="Helvetica" w:cs="Helvetica"/>
          <w:color w:val="111111"/>
          <w:sz w:val="21"/>
          <w:szCs w:val="21"/>
          <w:lang w:eastAsia="es-AR"/>
        </w:rPr>
        <w:t>t.o</w:t>
      </w:r>
      <w:proofErr w:type="spellEnd"/>
      <w:r w:rsidRPr="000C029B">
        <w:rPr>
          <w:rFonts w:ascii="Helvetica" w:eastAsia="Times New Roman" w:hAnsi="Helvetica" w:cs="Helvetica"/>
          <w:color w:val="111111"/>
          <w:sz w:val="21"/>
          <w:szCs w:val="21"/>
          <w:lang w:eastAsia="es-AR"/>
        </w:rPr>
        <w:t xml:space="preserve">. Resolución SSN </w:t>
      </w:r>
      <w:proofErr w:type="spellStart"/>
      <w:r w:rsidRPr="000C029B">
        <w:rPr>
          <w:rFonts w:ascii="Helvetica" w:eastAsia="Times New Roman" w:hAnsi="Helvetica" w:cs="Helvetica"/>
          <w:color w:val="111111"/>
          <w:sz w:val="21"/>
          <w:szCs w:val="21"/>
          <w:lang w:eastAsia="es-AR"/>
        </w:rPr>
        <w:t>N°</w:t>
      </w:r>
      <w:proofErr w:type="spellEnd"/>
      <w:r w:rsidRPr="000C029B">
        <w:rPr>
          <w:rFonts w:ascii="Helvetica" w:eastAsia="Times New Roman" w:hAnsi="Helvetica" w:cs="Helvetica"/>
          <w:color w:val="111111"/>
          <w:sz w:val="21"/>
          <w:szCs w:val="21"/>
          <w:lang w:eastAsia="es-AR"/>
        </w:rPr>
        <w:t> 38.708 de fecha 6 de noviembre de 2014, y sus modificatorias y complementarias), y hasta los estados contables cerrados al 30 de junio de 2024 inclusive, por el siguiente:</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“b) La base de cálculo de la previsión debe ser la determinada en el inciso a). La misma debe constituirse por el CIENTO POR CIENTO (100%) de los premios impagos al cierre de ejercicio o período, cuya antigüedad supere los CIENTO OCHENTA (180) días.”.</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ARTÍCULO 6</w:t>
      </w:r>
      <w:proofErr w:type="gramStart"/>
      <w:r w:rsidRPr="000C029B">
        <w:rPr>
          <w:rFonts w:ascii="Helvetica" w:eastAsia="Times New Roman" w:hAnsi="Helvetica" w:cs="Helvetica"/>
          <w:color w:val="111111"/>
          <w:sz w:val="21"/>
          <w:szCs w:val="21"/>
          <w:lang w:eastAsia="es-AR"/>
        </w:rPr>
        <w:t>°.-</w:t>
      </w:r>
      <w:proofErr w:type="gramEnd"/>
      <w:r w:rsidRPr="000C029B">
        <w:rPr>
          <w:rFonts w:ascii="Helvetica" w:eastAsia="Times New Roman" w:hAnsi="Helvetica" w:cs="Helvetica"/>
          <w:color w:val="111111"/>
          <w:sz w:val="21"/>
          <w:szCs w:val="21"/>
          <w:lang w:eastAsia="es-AR"/>
        </w:rPr>
        <w:t xml:space="preserve"> Comuníquese, publíquese, dese a la DIRECCIÓN NACIONAL DEL REGISTRO OFICIAL y archívese.</w:t>
      </w:r>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 xml:space="preserve">Mirta Adriana </w:t>
      </w:r>
      <w:proofErr w:type="spellStart"/>
      <w:r w:rsidRPr="000C029B">
        <w:rPr>
          <w:rFonts w:ascii="Helvetica" w:eastAsia="Times New Roman" w:hAnsi="Helvetica" w:cs="Helvetica"/>
          <w:color w:val="111111"/>
          <w:sz w:val="21"/>
          <w:szCs w:val="21"/>
          <w:lang w:eastAsia="es-AR"/>
        </w:rPr>
        <w:t>Guida</w:t>
      </w:r>
      <w:proofErr w:type="spellEnd"/>
    </w:p>
    <w:p w:rsidR="000C029B" w:rsidRPr="000C029B" w:rsidRDefault="000C029B" w:rsidP="000C029B">
      <w:pPr>
        <w:shd w:val="clear" w:color="auto" w:fill="F9F9F9"/>
        <w:spacing w:after="360" w:line="240" w:lineRule="auto"/>
        <w:jc w:val="both"/>
        <w:rPr>
          <w:rFonts w:ascii="Helvetica" w:eastAsia="Times New Roman" w:hAnsi="Helvetica" w:cs="Helvetica"/>
          <w:color w:val="111111"/>
          <w:sz w:val="21"/>
          <w:szCs w:val="21"/>
          <w:lang w:eastAsia="es-AR"/>
        </w:rPr>
      </w:pPr>
      <w:r w:rsidRPr="000C029B">
        <w:rPr>
          <w:rFonts w:ascii="Helvetica" w:eastAsia="Times New Roman" w:hAnsi="Helvetica" w:cs="Helvetica"/>
          <w:color w:val="111111"/>
          <w:sz w:val="21"/>
          <w:szCs w:val="21"/>
          <w:lang w:eastAsia="es-AR"/>
        </w:rPr>
        <w:t xml:space="preserve">e. 23/06/2023 </w:t>
      </w:r>
      <w:proofErr w:type="spellStart"/>
      <w:r w:rsidRPr="000C029B">
        <w:rPr>
          <w:rFonts w:ascii="Helvetica" w:eastAsia="Times New Roman" w:hAnsi="Helvetica" w:cs="Helvetica"/>
          <w:color w:val="111111"/>
          <w:sz w:val="21"/>
          <w:szCs w:val="21"/>
          <w:lang w:eastAsia="es-AR"/>
        </w:rPr>
        <w:t>N°</w:t>
      </w:r>
      <w:proofErr w:type="spellEnd"/>
      <w:r w:rsidRPr="000C029B">
        <w:rPr>
          <w:rFonts w:ascii="Helvetica" w:eastAsia="Times New Roman" w:hAnsi="Helvetica" w:cs="Helvetica"/>
          <w:color w:val="111111"/>
          <w:sz w:val="21"/>
          <w:szCs w:val="21"/>
          <w:lang w:eastAsia="es-AR"/>
        </w:rPr>
        <w:t> 46936/23 v. 23/06/2023</w:t>
      </w:r>
    </w:p>
    <w:p w:rsidR="000C029B" w:rsidRPr="000C029B" w:rsidRDefault="000C029B" w:rsidP="000C029B">
      <w:pPr>
        <w:shd w:val="clear" w:color="auto" w:fill="F9F9F9"/>
        <w:spacing w:after="360" w:line="240" w:lineRule="auto"/>
        <w:rPr>
          <w:rFonts w:ascii="Helvetica" w:eastAsia="Times New Roman" w:hAnsi="Helvetica" w:cs="Helvetica"/>
          <w:color w:val="767676"/>
          <w:sz w:val="27"/>
          <w:szCs w:val="27"/>
          <w:lang w:eastAsia="es-AR"/>
        </w:rPr>
      </w:pPr>
      <w:r w:rsidRPr="000C029B">
        <w:rPr>
          <w:rFonts w:ascii="Helvetica" w:eastAsia="Times New Roman" w:hAnsi="Helvetica" w:cs="Helvetica"/>
          <w:color w:val="767676"/>
          <w:lang w:eastAsia="es-AR"/>
        </w:rPr>
        <w:t>Fecha de publicación 23/06/2023</w:t>
      </w:r>
    </w:p>
    <w:p w:rsidR="00023CB1" w:rsidRDefault="00023CB1">
      <w:bookmarkStart w:id="0" w:name="_GoBack"/>
      <w:bookmarkEnd w:id="0"/>
    </w:p>
    <w:sectPr w:rsidR="00023C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9B"/>
    <w:rsid w:val="00023CB1"/>
    <w:rsid w:val="000C029B"/>
    <w:rsid w:val="00527E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2BFF5-3AD3-4DC5-A599-70296AA2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487619">
      <w:bodyDiv w:val="1"/>
      <w:marLeft w:val="0"/>
      <w:marRight w:val="0"/>
      <w:marTop w:val="0"/>
      <w:marBottom w:val="0"/>
      <w:divBdr>
        <w:top w:val="none" w:sz="0" w:space="0" w:color="auto"/>
        <w:left w:val="none" w:sz="0" w:space="0" w:color="auto"/>
        <w:bottom w:val="none" w:sz="0" w:space="0" w:color="auto"/>
        <w:right w:val="none" w:sz="0" w:space="0" w:color="auto"/>
      </w:divBdr>
      <w:divsChild>
        <w:div w:id="777337533">
          <w:marLeft w:val="-225"/>
          <w:marRight w:val="-225"/>
          <w:marTop w:val="0"/>
          <w:marBottom w:val="0"/>
          <w:divBdr>
            <w:top w:val="none" w:sz="0" w:space="0" w:color="auto"/>
            <w:left w:val="none" w:sz="0" w:space="0" w:color="auto"/>
            <w:bottom w:val="none" w:sz="0" w:space="0" w:color="auto"/>
            <w:right w:val="none" w:sz="0" w:space="0" w:color="auto"/>
          </w:divBdr>
          <w:divsChild>
            <w:div w:id="783160060">
              <w:marLeft w:val="0"/>
              <w:marRight w:val="0"/>
              <w:marTop w:val="0"/>
              <w:marBottom w:val="225"/>
              <w:divBdr>
                <w:top w:val="none" w:sz="0" w:space="0" w:color="auto"/>
                <w:left w:val="none" w:sz="0" w:space="0" w:color="auto"/>
                <w:bottom w:val="none" w:sz="0" w:space="0" w:color="auto"/>
                <w:right w:val="none" w:sz="0" w:space="0" w:color="auto"/>
              </w:divBdr>
            </w:div>
            <w:div w:id="1827892366">
              <w:marLeft w:val="0"/>
              <w:marRight w:val="0"/>
              <w:marTop w:val="0"/>
              <w:marBottom w:val="225"/>
              <w:divBdr>
                <w:top w:val="none" w:sz="0" w:space="0" w:color="auto"/>
                <w:left w:val="none" w:sz="0" w:space="0" w:color="auto"/>
                <w:bottom w:val="none" w:sz="0" w:space="0" w:color="auto"/>
                <w:right w:val="none" w:sz="0" w:space="0" w:color="auto"/>
              </w:divBdr>
            </w:div>
          </w:divsChild>
        </w:div>
        <w:div w:id="1090081423">
          <w:marLeft w:val="-225"/>
          <w:marRight w:val="-225"/>
          <w:marTop w:val="0"/>
          <w:marBottom w:val="0"/>
          <w:divBdr>
            <w:top w:val="none" w:sz="0" w:space="0" w:color="auto"/>
            <w:left w:val="none" w:sz="0" w:space="0" w:color="auto"/>
            <w:bottom w:val="none" w:sz="0" w:space="0" w:color="auto"/>
            <w:right w:val="none" w:sz="0" w:space="0" w:color="auto"/>
          </w:divBdr>
          <w:divsChild>
            <w:div w:id="185174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2177</Words>
  <Characters>11977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2023-06-23T11:41:00Z</dcterms:created>
  <dcterms:modified xsi:type="dcterms:W3CDTF">2023-06-23T11:42:00Z</dcterms:modified>
</cp:coreProperties>
</file>