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F16B6" w:rsidR="00CF16B6" w:rsidP="00EF3449" w:rsidRDefault="00CF16B6" w14:paraId="62BCBE93" wp14:textId="77777777">
      <w:pPr>
        <w:jc w:val="right"/>
      </w:pPr>
      <w:r w:rsidRPr="00CF16B6">
        <w:rPr>
          <w:b/>
          <w:bCs/>
        </w:rPr>
        <w:t>NOTA DE PRENSA</w:t>
      </w:r>
    </w:p>
    <w:p xmlns:wp14="http://schemas.microsoft.com/office/word/2010/wordml" w:rsidR="00EF3449" w:rsidP="00CF16B6" w:rsidRDefault="00EF3449" w14:paraId="672A6659" wp14:textId="77777777">
      <w:pPr>
        <w:rPr>
          <w:b/>
          <w:bCs/>
        </w:rPr>
      </w:pPr>
    </w:p>
    <w:p xmlns:wp14="http://schemas.microsoft.com/office/word/2010/wordml" w:rsidRPr="00BF72B0" w:rsidR="00EF3449" w:rsidP="00EF3449" w:rsidRDefault="00EF3449" w14:paraId="02983A6C" wp14:textId="77777777">
      <w:pPr>
        <w:jc w:val="center"/>
        <w:rPr>
          <w:b/>
          <w:bCs/>
          <w:color w:val="D81E05"/>
          <w:sz w:val="28"/>
          <w:szCs w:val="28"/>
        </w:rPr>
      </w:pPr>
      <w:r w:rsidRPr="00BF72B0">
        <w:rPr>
          <w:b/>
          <w:bCs/>
          <w:color w:val="D81E05"/>
          <w:sz w:val="28"/>
          <w:szCs w:val="28"/>
        </w:rPr>
        <w:t>MAPFRE CRECE UN 30% Y SUPERA LOS 900 MILLONES DE EUROS EN BENEFICIO, CON LATINOAMÉRICA COMO MOTOR CLAVE</w:t>
      </w:r>
    </w:p>
    <w:p xmlns:wp14="http://schemas.microsoft.com/office/word/2010/wordml" w:rsidR="00EF3449" w:rsidP="00D4025A" w:rsidRDefault="00EF3449" w14:paraId="0A37501D" wp14:textId="77777777">
      <w:pPr>
        <w:jc w:val="both"/>
        <w:rPr>
          <w:b/>
          <w:bCs/>
        </w:rPr>
      </w:pPr>
    </w:p>
    <w:p xmlns:wp14="http://schemas.microsoft.com/office/word/2010/wordml" w:rsidRPr="002075DC" w:rsidR="002075DC" w:rsidP="00D4025A" w:rsidRDefault="0015067F" w14:paraId="6912E5C5" wp14:textId="5189E178">
      <w:pPr>
        <w:jc w:val="both"/>
      </w:pPr>
      <w:r w:rsidR="5F1D3C6B">
        <w:rPr/>
        <w:t>Buenos Aires, 12 de febrero de 2025</w:t>
      </w:r>
      <w:r w:rsidR="002075DC">
        <w:rPr/>
        <w:t xml:space="preserve">– MAPFRE, aseguradora global </w:t>
      </w:r>
      <w:r w:rsidR="0015067F">
        <w:rPr/>
        <w:t>y líder en Latinoamérica</w:t>
      </w:r>
      <w:r w:rsidR="002075DC">
        <w:rPr/>
        <w:t xml:space="preserve">, cerró 2024 con un beneficio atribuible de </w:t>
      </w:r>
      <w:r w:rsidRPr="1C60D263" w:rsidR="002075DC">
        <w:rPr>
          <w:b w:val="1"/>
          <w:bCs w:val="1"/>
        </w:rPr>
        <w:t>902 millones de euros</w:t>
      </w:r>
      <w:r w:rsidR="002075DC">
        <w:rPr/>
        <w:t xml:space="preserve"> (+30%) y primas por </w:t>
      </w:r>
      <w:r w:rsidRPr="1C60D263" w:rsidR="002075DC">
        <w:rPr>
          <w:b w:val="1"/>
          <w:bCs w:val="1"/>
        </w:rPr>
        <w:t xml:space="preserve">28.120 millones </w:t>
      </w:r>
      <w:r w:rsidR="002075DC">
        <w:rPr/>
        <w:t xml:space="preserve">(+4,5%). Estos resultados reflejan </w:t>
      </w:r>
      <w:r w:rsidR="00B125DC">
        <w:rPr/>
        <w:t>la consolidación de la mejoría</w:t>
      </w:r>
      <w:r w:rsidR="002075DC">
        <w:rPr/>
        <w:t xml:space="preserve"> del negocio de No Vida </w:t>
      </w:r>
      <w:r w:rsidR="00B125DC">
        <w:rPr/>
        <w:t>y</w:t>
      </w:r>
      <w:r w:rsidR="002075DC">
        <w:rPr/>
        <w:t xml:space="preserve"> la </w:t>
      </w:r>
      <w:r w:rsidR="00B125DC">
        <w:rPr/>
        <w:t>solidez</w:t>
      </w:r>
      <w:r w:rsidR="002075DC">
        <w:rPr/>
        <w:t xml:space="preserve"> financiera de la compañía.</w:t>
      </w:r>
    </w:p>
    <w:p xmlns:wp14="http://schemas.microsoft.com/office/word/2010/wordml" w:rsidR="00D4025A" w:rsidP="408A076C" w:rsidRDefault="002D16F7" w14:paraId="12CBD21A" wp14:textId="6ED3A21F">
      <w:pPr>
        <w:jc w:val="both"/>
      </w:pPr>
      <w:r w:rsidR="002075DC">
        <w:rPr/>
        <w:t xml:space="preserve">Latinoamérica reafirma su papel estratégico, siendo la región de mayor contribución al beneficio del grupo con </w:t>
      </w:r>
      <w:r w:rsidRPr="408A076C" w:rsidR="002075DC">
        <w:rPr>
          <w:b w:val="1"/>
          <w:bCs w:val="1"/>
        </w:rPr>
        <w:t>408 millones de euros</w:t>
      </w:r>
      <w:r w:rsidR="002075DC">
        <w:rPr/>
        <w:t xml:space="preserve"> (incremento de 34 millones respecto a 2023). En términos de volumen de negocio, las primas en la región alcanzaron los </w:t>
      </w:r>
      <w:r w:rsidRPr="408A076C" w:rsidR="002075DC">
        <w:rPr>
          <w:b w:val="1"/>
          <w:bCs w:val="1"/>
        </w:rPr>
        <w:t>9.965 millones de euros</w:t>
      </w:r>
      <w:r w:rsidR="002075DC">
        <w:rPr/>
        <w:t xml:space="preserve">, demostrando solidez a tipo de cambio constante pese a la depreciación de algunas monedas locales. Brasil se destaca con un beneficio de </w:t>
      </w:r>
      <w:r w:rsidRPr="408A076C" w:rsidR="002075DC">
        <w:rPr>
          <w:b w:val="1"/>
          <w:bCs w:val="1"/>
        </w:rPr>
        <w:t>255 millones de euros</w:t>
      </w:r>
      <w:r w:rsidR="002075DC">
        <w:rPr/>
        <w:t xml:space="preserve"> y una mejora en su ratio combinado </w:t>
      </w:r>
      <w:r w:rsidR="002D16F7">
        <w:rPr/>
        <w:t xml:space="preserve">de No Vida </w:t>
      </w:r>
      <w:r w:rsidR="002075DC">
        <w:rPr/>
        <w:t xml:space="preserve">hasta el </w:t>
      </w:r>
      <w:r w:rsidRPr="408A076C" w:rsidR="002075DC">
        <w:rPr>
          <w:b w:val="1"/>
          <w:bCs w:val="1"/>
        </w:rPr>
        <w:t>72,8%</w:t>
      </w:r>
      <w:r w:rsidR="002075DC">
        <w:rPr/>
        <w:t>, mientras que México, Perú, Colombia</w:t>
      </w:r>
      <w:r w:rsidR="00B50C32">
        <w:rPr/>
        <w:t>,</w:t>
      </w:r>
      <w:r w:rsidR="002075DC">
        <w:rPr/>
        <w:t xml:space="preserve"> Chile</w:t>
      </w:r>
      <w:r w:rsidR="00B125DC">
        <w:rPr/>
        <w:t>,</w:t>
      </w:r>
      <w:r w:rsidR="00B50C32">
        <w:rPr/>
        <w:t xml:space="preserve"> </w:t>
      </w:r>
      <w:r w:rsidR="00B50C32">
        <w:rPr/>
        <w:t xml:space="preserve">Colombia, Chile </w:t>
      </w:r>
      <w:r w:rsidR="00B125DC">
        <w:rPr/>
        <w:t>o</w:t>
      </w:r>
      <w:r w:rsidR="00B50C32">
        <w:rPr/>
        <w:t xml:space="preserve"> República Dominicana</w:t>
      </w:r>
      <w:r w:rsidR="002075DC">
        <w:rPr/>
        <w:t xml:space="preserve"> han mostrado un desempeño prometedor.</w:t>
      </w:r>
    </w:p>
    <w:p xmlns:wp14="http://schemas.microsoft.com/office/word/2010/wordml" w:rsidR="00D4025A" w:rsidP="408A076C" w:rsidRDefault="002D16F7" w14:paraId="642C7B83" wp14:textId="73B185BB">
      <w:pPr>
        <w:jc w:val="both"/>
      </w:pPr>
      <w:r w:rsidR="002D16F7">
        <w:rPr/>
        <w:t>“</w:t>
      </w:r>
      <w:r w:rsidR="002D16F7">
        <w:rPr/>
        <w:t>Estos resultados, los mejores de la historia, reflejan nuestra ambición por el crecimiento y la excelencia técnica, fruto de la ejecución del Plan Estratégico.</w:t>
      </w:r>
      <w:r w:rsidR="1FC8F94F">
        <w:rPr/>
        <w:t xml:space="preserve"> Destaca Latinoamérica como región principal contribuidora una vez más del resultado, aportando más de 400 millones de euros.</w:t>
      </w:r>
      <w:r w:rsidR="002D16F7">
        <w:rPr/>
        <w:t xml:space="preserve"> El dividendo marca un nuevo máximo histórico y es muestra de nuestro compromiso con los accionistas. Entramos en 2025 con un gran optimismo y con la confianza de continuar creando valor</w:t>
      </w:r>
      <w:r w:rsidR="00D4025A">
        <w:rPr/>
        <w:t>”,</w:t>
      </w:r>
      <w:r w:rsidR="1607ED0C">
        <w:rPr/>
        <w:t xml:space="preserve"> </w:t>
      </w:r>
      <w:r w:rsidR="00D4025A">
        <w:rPr/>
        <w:t xml:space="preserve">señaló </w:t>
      </w:r>
      <w:r w:rsidRPr="408A076C" w:rsidR="00D4025A">
        <w:rPr>
          <w:b w:val="1"/>
          <w:bCs w:val="1"/>
        </w:rPr>
        <w:t>Antonio Huertas, presidente de MAPFRE</w:t>
      </w:r>
      <w:r w:rsidR="00D4025A">
        <w:rPr/>
        <w:t>.</w:t>
      </w:r>
    </w:p>
    <w:p xmlns:wp14="http://schemas.microsoft.com/office/word/2010/wordml" w:rsidR="00B50C32" w:rsidP="00D4025A" w:rsidRDefault="00B50C32" w14:paraId="391FDB6D" wp14:textId="77777777">
      <w:pPr>
        <w:jc w:val="both"/>
      </w:pPr>
      <w:r w:rsidRPr="00B50C32">
        <w:t xml:space="preserve">A nivel global, MAPFRE ha logrado avances significativos en la mayoría de sus líneas de negocio, con ingresos que alcanzan los </w:t>
      </w:r>
      <w:r w:rsidRPr="00B50C32">
        <w:rPr>
          <w:b/>
          <w:bCs/>
        </w:rPr>
        <w:t>33.177 millones de euros</w:t>
      </w:r>
      <w:r w:rsidRPr="00B50C32">
        <w:t>. El ROE</w:t>
      </w:r>
      <w:r>
        <w:t xml:space="preserve"> (</w:t>
      </w:r>
      <w:r w:rsidRPr="00B50C32">
        <w:t>rentabilidad sobre el capital propio</w:t>
      </w:r>
      <w:r>
        <w:t>)</w:t>
      </w:r>
      <w:r w:rsidRPr="00B50C32">
        <w:t xml:space="preserve"> ajustado se sitúa en un 12%, mientras que los fondos propios avanzan un 5,4%, superando los </w:t>
      </w:r>
      <w:r w:rsidRPr="00B50C32">
        <w:rPr>
          <w:b/>
          <w:bCs/>
        </w:rPr>
        <w:t>8.500 millones</w:t>
      </w:r>
      <w:r w:rsidRPr="00B50C32">
        <w:t>. Estos resultados refuerzan su estrategia de rentabilidad sostenible y consolidan su posición de liderazgo en el sector</w:t>
      </w:r>
      <w:r>
        <w:t>.</w:t>
      </w:r>
    </w:p>
    <w:p xmlns:wp14="http://schemas.microsoft.com/office/word/2010/wordml" w:rsidRPr="002075DC" w:rsidR="002075DC" w:rsidP="00D4025A" w:rsidRDefault="00B50C32" w14:paraId="16A0B3AE" wp14:textId="77777777">
      <w:pPr>
        <w:jc w:val="both"/>
      </w:pPr>
      <w:r>
        <w:t>De esta forma</w:t>
      </w:r>
      <w:r w:rsidRPr="002075DC" w:rsidR="002075DC">
        <w:t xml:space="preserve">, la compañía anunció una retribución histórica para sus accionistas, con un dividendo total de </w:t>
      </w:r>
      <w:r w:rsidRPr="002075DC" w:rsidR="002075DC">
        <w:rPr>
          <w:b/>
          <w:bCs/>
        </w:rPr>
        <w:t>16 céntimos brutos por acción</w:t>
      </w:r>
      <w:r w:rsidRPr="002075DC" w:rsidR="002075DC">
        <w:t xml:space="preserve"> –el mayor de su historia–, subrayando su compromiso con la creación de valor.</w:t>
      </w:r>
    </w:p>
    <w:p xmlns:wp14="http://schemas.microsoft.com/office/word/2010/wordml" w:rsidR="00507408" w:rsidP="00D4025A" w:rsidRDefault="00B50C32" w14:paraId="672707F9" wp14:textId="77777777">
      <w:pPr>
        <w:jc w:val="both"/>
      </w:pPr>
      <w:r w:rsidRPr="00B50C32">
        <w:t xml:space="preserve">Además del crecimiento en Latinoamérica, Norteamérica y Europa contribuyeron positivamente a los resultados del grupo. En Norteamérica, el resultado neto alcanzó </w:t>
      </w:r>
      <w:r w:rsidRPr="00B50C32">
        <w:rPr>
          <w:b/>
          <w:bCs/>
        </w:rPr>
        <w:t>97,6 millones de euros</w:t>
      </w:r>
      <w:r w:rsidRPr="00B50C32">
        <w:t>,</w:t>
      </w:r>
      <w:r w:rsidR="00507408">
        <w:t xml:space="preserve"> tras una mejora de </w:t>
      </w:r>
      <w:r w:rsidRPr="00507408" w:rsidR="00507408">
        <w:t xml:space="preserve">una mejora de </w:t>
      </w:r>
      <w:r w:rsidRPr="00507408" w:rsidR="00507408">
        <w:rPr>
          <w:b/>
          <w:bCs/>
        </w:rPr>
        <w:t>99 millones</w:t>
      </w:r>
      <w:r w:rsidR="00507408">
        <w:t>,</w:t>
      </w:r>
      <w:r w:rsidRPr="00B50C32">
        <w:t xml:space="preserve"> consolidando</w:t>
      </w:r>
      <w:r w:rsidR="00507408">
        <w:t xml:space="preserve"> una fuerte recuperación tras las mejoras técnicas adoptadas.</w:t>
      </w:r>
    </w:p>
    <w:p xmlns:wp14="http://schemas.microsoft.com/office/word/2010/wordml" w:rsidRPr="002075DC" w:rsidR="002075DC" w:rsidP="00D4025A" w:rsidRDefault="002075DC" w14:paraId="52E349B5" wp14:textId="77777777">
      <w:pPr>
        <w:jc w:val="both"/>
      </w:pPr>
      <w:r w:rsidRPr="002075DC">
        <w:t xml:space="preserve">En la región EMEA, Turquía destacó con un crecimiento del </w:t>
      </w:r>
      <w:r w:rsidRPr="002075DC">
        <w:rPr>
          <w:b/>
          <w:bCs/>
        </w:rPr>
        <w:t>138,2%</w:t>
      </w:r>
      <w:r w:rsidRPr="002075DC">
        <w:t xml:space="preserve"> en su beneficio, mitigando el impacto del complicado entorno en el mercado de automóviles de</w:t>
      </w:r>
      <w:r w:rsidR="00B50C32">
        <w:t xml:space="preserve"> la región</w:t>
      </w:r>
      <w:r w:rsidRPr="002075DC">
        <w:t>.</w:t>
      </w:r>
      <w:r w:rsidR="00507408">
        <w:t xml:space="preserve"> Mientras que Iberia</w:t>
      </w:r>
      <w:r w:rsidRPr="00507408" w:rsidR="00507408">
        <w:t xml:space="preserve"> mejor</w:t>
      </w:r>
      <w:r w:rsidR="00507408">
        <w:t>ó</w:t>
      </w:r>
      <w:r w:rsidRPr="00507408" w:rsidR="00507408">
        <w:t xml:space="preserve"> significativamente su rentabilidad</w:t>
      </w:r>
      <w:r w:rsidR="00507408">
        <w:t xml:space="preserve">, con un </w:t>
      </w:r>
      <w:r w:rsidRPr="00507408" w:rsidR="00507408">
        <w:t xml:space="preserve">resultado neto </w:t>
      </w:r>
      <w:r w:rsidR="00507408">
        <w:t xml:space="preserve">que </w:t>
      </w:r>
      <w:r w:rsidRPr="00507408" w:rsidR="00507408">
        <w:t xml:space="preserve">asciende a </w:t>
      </w:r>
      <w:r w:rsidR="00507408">
        <w:t xml:space="preserve">los </w:t>
      </w:r>
      <w:r w:rsidRPr="00507408" w:rsidR="00507408">
        <w:rPr>
          <w:b/>
          <w:bCs/>
        </w:rPr>
        <w:t>367 millones</w:t>
      </w:r>
      <w:r w:rsidRPr="00507408" w:rsidR="00507408">
        <w:rPr>
          <w:b/>
          <w:bCs/>
        </w:rPr>
        <w:t xml:space="preserve"> de euros</w:t>
      </w:r>
      <w:r w:rsidR="00507408">
        <w:t xml:space="preserve"> pese al impacto de 27 millones de la DANA.</w:t>
      </w:r>
    </w:p>
    <w:p xmlns:wp14="http://schemas.microsoft.com/office/word/2010/wordml" w:rsidRPr="002075DC" w:rsidR="002075DC" w:rsidP="00D4025A" w:rsidRDefault="002075DC" w14:paraId="143FDE9E" wp14:textId="77777777">
      <w:pPr>
        <w:jc w:val="both"/>
      </w:pPr>
      <w:r w:rsidRPr="002075DC">
        <w:t xml:space="preserve">MAPFRE RE, la unidad de reaseguro y riesgos globales, alcanzó un </w:t>
      </w:r>
      <w:r w:rsidRPr="002075DC">
        <w:rPr>
          <w:b/>
          <w:bCs/>
        </w:rPr>
        <w:t>beneficio neto de 325 millones de euros</w:t>
      </w:r>
      <w:r w:rsidRPr="002075DC">
        <w:t xml:space="preserve">, con un crecimiento del </w:t>
      </w:r>
      <w:r w:rsidRPr="002075DC">
        <w:rPr>
          <w:b/>
          <w:bCs/>
        </w:rPr>
        <w:t>33%</w:t>
      </w:r>
      <w:r w:rsidRPr="002075DC">
        <w:t>, reflejando la solidez de su estrategia de diversificación y una gestión prudente de riesgos.</w:t>
      </w:r>
    </w:p>
    <w:p xmlns:wp14="http://schemas.microsoft.com/office/word/2010/wordml" w:rsidRPr="002075DC" w:rsidR="002075DC" w:rsidP="00D4025A" w:rsidRDefault="002075DC" w14:paraId="69B2D0A9" wp14:textId="77777777">
      <w:pPr>
        <w:jc w:val="both"/>
      </w:pPr>
      <w:r w:rsidRPr="002075DC">
        <w:t>La compañía también ha reforzado su apuesta por la digitalización y la sostenibilidad, con iniciativas dirigidas a la innovación en seguros y una mayor eficiencia en la gestión de riesgos. Estas acciones están alineadas con su compromiso de ofrecer soluciones adaptadas a las necesidades del mercado y garantizar una operación sostenible a largo plazo.</w:t>
      </w:r>
    </w:p>
    <w:p xmlns:wp14="http://schemas.microsoft.com/office/word/2010/wordml" w:rsidR="009871FE" w:rsidP="00D4025A" w:rsidRDefault="009871FE" w14:paraId="5DAB6C7B" wp14:textId="77777777">
      <w:pPr>
        <w:jc w:val="both"/>
      </w:pPr>
    </w:p>
    <w:p w:rsidR="1C60D263" w:rsidP="1C60D263" w:rsidRDefault="1C60D263" w14:paraId="5D32A6D2" w14:textId="3453C82F">
      <w:pPr>
        <w:jc w:val="both"/>
      </w:pPr>
    </w:p>
    <w:p w:rsidR="1C60D263" w:rsidP="1C60D263" w:rsidRDefault="1C60D263" w14:paraId="42CF5442" w14:textId="6BF7D74A">
      <w:p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</w:pPr>
    </w:p>
    <w:p w:rsidR="5F275FFB" w:rsidP="1C60D263" w:rsidRDefault="5F275FFB" w14:paraId="4DB28DB4" w14:textId="3544904F">
      <w:p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</w:pPr>
      <w:r w:rsidRPr="1C60D263" w:rsidR="5F275FF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Para más información de prensa:</w:t>
      </w:r>
    </w:p>
    <w:p w:rsidR="5F275FFB" w:rsidP="1C60D263" w:rsidRDefault="5F275FFB" w14:paraId="53FAFFDD" w14:textId="2F0448CC">
      <w:p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60D263" w:rsidR="5F275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María Luján Renzi </w:t>
      </w:r>
      <w:hyperlink r:id="R187e03260f924653">
        <w:r w:rsidRPr="1C60D263" w:rsidR="5F275FF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lurenzi@mapfre.com.ar</w:t>
        </w:r>
      </w:hyperlink>
      <w:r w:rsidRPr="1C60D263" w:rsidR="5F275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5F275FFB" w:rsidP="1C60D263" w:rsidRDefault="5F275FFB" w14:paraId="1C6DD447" w14:textId="79D22C20">
      <w:p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60D263" w:rsidR="5F275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Carolina Cardillo </w:t>
      </w:r>
      <w:hyperlink r:id="R28a757726afd4f4a">
        <w:r w:rsidRPr="1C60D263" w:rsidR="5F275FF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ccardillo@atrevia.com</w:t>
        </w:r>
      </w:hyperlink>
    </w:p>
    <w:p w:rsidR="1C60D263" w:rsidP="1C60D263" w:rsidRDefault="1C60D263" w14:paraId="7A68BF3F" w14:textId="375E427B">
      <w:pPr>
        <w:jc w:val="both"/>
      </w:pPr>
    </w:p>
    <w:sectPr w:rsidR="009871FE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C1A86" w:rsidP="00EF3449" w:rsidRDefault="00FC1A86" w14:paraId="02EB37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C1A86" w:rsidP="00EF3449" w:rsidRDefault="00FC1A86" w14:paraId="6A05A8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C1A86" w:rsidP="00EF3449" w:rsidRDefault="00FC1A86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C1A86" w:rsidP="00EF3449" w:rsidRDefault="00FC1A86" w14:paraId="41C8F3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EF3449" w:rsidRDefault="00EF3449" w14:paraId="564BDA6B" wp14:textId="77777777">
    <w:pPr>
      <w:pStyle w:val="Encabezad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4E05D50" wp14:editId="7777777">
          <wp:simplePos x="0" y="0"/>
          <wp:positionH relativeFrom="column">
            <wp:posOffset>-920115</wp:posOffset>
          </wp:positionH>
          <wp:positionV relativeFrom="paragraph">
            <wp:posOffset>-388620</wp:posOffset>
          </wp:positionV>
          <wp:extent cx="2105025" cy="607996"/>
          <wp:effectExtent l="0" t="0" r="0" b="190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7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B6"/>
    <w:rsid w:val="001135E2"/>
    <w:rsid w:val="0015067F"/>
    <w:rsid w:val="002075DC"/>
    <w:rsid w:val="002D16F7"/>
    <w:rsid w:val="002E1585"/>
    <w:rsid w:val="003D716E"/>
    <w:rsid w:val="005036C0"/>
    <w:rsid w:val="00507408"/>
    <w:rsid w:val="005248B1"/>
    <w:rsid w:val="006E5396"/>
    <w:rsid w:val="0088188E"/>
    <w:rsid w:val="00907B76"/>
    <w:rsid w:val="009871FE"/>
    <w:rsid w:val="00B125DC"/>
    <w:rsid w:val="00B50C32"/>
    <w:rsid w:val="00BF72B0"/>
    <w:rsid w:val="00CF16B6"/>
    <w:rsid w:val="00D4025A"/>
    <w:rsid w:val="00E87FFB"/>
    <w:rsid w:val="00EF3449"/>
    <w:rsid w:val="00F465D5"/>
    <w:rsid w:val="00FC1A86"/>
    <w:rsid w:val="07E0520B"/>
    <w:rsid w:val="15C0844B"/>
    <w:rsid w:val="1607ED0C"/>
    <w:rsid w:val="1C60D263"/>
    <w:rsid w:val="1FC8F94F"/>
    <w:rsid w:val="25636FA6"/>
    <w:rsid w:val="29C33E07"/>
    <w:rsid w:val="2A190B8C"/>
    <w:rsid w:val="2DBD557B"/>
    <w:rsid w:val="363DE612"/>
    <w:rsid w:val="3F6B5660"/>
    <w:rsid w:val="408A076C"/>
    <w:rsid w:val="4B28AF85"/>
    <w:rsid w:val="5F1D3C6B"/>
    <w:rsid w:val="5F275FFB"/>
    <w:rsid w:val="7021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6FA9"/>
  <w15:chartTrackingRefBased/>
  <w15:docId w15:val="{03601F5C-2DEB-4B48-9879-967E2808D7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6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6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F16B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F16B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F16B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F16B6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F16B6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F16B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F16B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F16B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F16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6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F16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F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6B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F16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6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6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6B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F16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6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344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3449"/>
  </w:style>
  <w:style w:type="paragraph" w:styleId="Piedepgina">
    <w:name w:val="footer"/>
    <w:basedOn w:val="Normal"/>
    <w:link w:val="PiedepginaCar"/>
    <w:uiPriority w:val="99"/>
    <w:unhideWhenUsed/>
    <w:rsid w:val="00EF344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3449"/>
  </w:style>
  <w:style w:type="character" w:styleId="Hyperlink">
    <w:uiPriority w:val="99"/>
    <w:name w:val="Hyperlink"/>
    <w:basedOn w:val="Fuentedeprrafopredeter"/>
    <w:unhideWhenUsed/>
    <w:rsid w:val="1C60D2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mailto:lurenzi@mapfre.com.ar" TargetMode="External" Id="R187e03260f924653" /><Relationship Type="http://schemas.openxmlformats.org/officeDocument/2006/relationships/hyperlink" Target="mailto:ccardillo@atrevia.com" TargetMode="External" Id="R28a757726afd4f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José Vidal Gras</dc:creator>
  <keywords/>
  <dc:description/>
  <lastModifiedBy>Carolina Elizabeth Cardillo</lastModifiedBy>
  <revision>11</revision>
  <dcterms:created xsi:type="dcterms:W3CDTF">2025-02-12T14:34:00.0000000Z</dcterms:created>
  <dcterms:modified xsi:type="dcterms:W3CDTF">2025-02-12T19:56:09.7373064Z</dcterms:modified>
</coreProperties>
</file>