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FA92F" w14:textId="77777777" w:rsidR="00BC7B76" w:rsidRDefault="000B6721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</w:rPr>
      </w:pPr>
      <w:bookmarkStart w:id="0" w:name="_GoBack"/>
      <w:r>
        <w:rPr>
          <w:rFonts w:ascii="Calibri" w:eastAsia="Calibri" w:hAnsi="Calibri" w:cs="Calibri"/>
          <w:noProof/>
          <w:lang w:val="es-AR"/>
        </w:rPr>
        <w:drawing>
          <wp:inline distT="0" distB="0" distL="0" distR="0" wp14:anchorId="1B5891FB" wp14:editId="2FE505AE">
            <wp:extent cx="1776314" cy="508123"/>
            <wp:effectExtent l="0" t="0" r="0" b="0"/>
            <wp:docPr id="1" name="image1.png" descr="Allianz: Seguros para personas, empresas e industria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llianz: Seguros para personas, empresas e industrias."/>
                    <pic:cNvPicPr preferRelativeResize="0"/>
                  </pic:nvPicPr>
                  <pic:blipFill>
                    <a:blip r:embed="rId8"/>
                    <a:srcRect t="19158" b="23891"/>
                    <a:stretch>
                      <a:fillRect/>
                    </a:stretch>
                  </pic:blipFill>
                  <pic:spPr>
                    <a:xfrm>
                      <a:off x="0" y="0"/>
                      <a:ext cx="1776314" cy="508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p w14:paraId="258A7A05" w14:textId="77777777" w:rsidR="00BC7B76" w:rsidRDefault="00BC7B76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</w:rPr>
      </w:pPr>
    </w:p>
    <w:p w14:paraId="4C77D4BA" w14:textId="7719B6FC" w:rsidR="00BC7B76" w:rsidRPr="00CB5C51" w:rsidRDefault="000B6721">
      <w:pPr>
        <w:shd w:val="clear" w:color="auto" w:fill="FFFFFF"/>
        <w:spacing w:line="240" w:lineRule="auto"/>
        <w:rPr>
          <w:rFonts w:asciiTheme="majorHAnsi" w:eastAsia="Calibri" w:hAnsiTheme="majorHAnsi" w:cstheme="majorHAnsi"/>
          <w:i/>
          <w:u w:val="single"/>
        </w:rPr>
      </w:pPr>
      <w:r w:rsidRPr="00CB5C51">
        <w:rPr>
          <w:rFonts w:asciiTheme="majorHAnsi" w:eastAsia="Calibri" w:hAnsiTheme="majorHAnsi" w:cstheme="majorHAnsi"/>
          <w:i/>
          <w:u w:val="single"/>
        </w:rPr>
        <w:t xml:space="preserve">Publicación de ganancias </w:t>
      </w:r>
      <w:r w:rsidR="00EE4140" w:rsidRPr="00CB5C51">
        <w:rPr>
          <w:rFonts w:asciiTheme="majorHAnsi" w:eastAsia="Calibri" w:hAnsiTheme="majorHAnsi" w:cstheme="majorHAnsi"/>
          <w:i/>
          <w:u w:val="single"/>
        </w:rPr>
        <w:t>Q4</w:t>
      </w:r>
      <w:r w:rsidRPr="00CB5C51">
        <w:rPr>
          <w:rFonts w:asciiTheme="majorHAnsi" w:eastAsia="Calibri" w:hAnsiTheme="majorHAnsi" w:cstheme="majorHAnsi"/>
          <w:i/>
          <w:u w:val="single"/>
        </w:rPr>
        <w:t xml:space="preserve"> y 12 meses de 2023</w:t>
      </w:r>
    </w:p>
    <w:p w14:paraId="2C28C547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Calibri" w:hAnsiTheme="majorHAnsi" w:cstheme="majorHAnsi"/>
        </w:rPr>
      </w:pPr>
    </w:p>
    <w:p w14:paraId="3325093D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Roboto" w:hAnsiTheme="majorHAnsi" w:cstheme="majorHAnsi"/>
          <w:b/>
          <w:color w:val="0D0D0D"/>
          <w:sz w:val="24"/>
          <w:szCs w:val="24"/>
          <w:highlight w:val="white"/>
        </w:rPr>
      </w:pPr>
    </w:p>
    <w:p w14:paraId="2EE037D6" w14:textId="56F787B5" w:rsidR="00BC7B76" w:rsidRPr="00CB5C51" w:rsidRDefault="000B6721">
      <w:pPr>
        <w:shd w:val="clear" w:color="auto" w:fill="FFFFFF"/>
        <w:spacing w:line="240" w:lineRule="auto"/>
        <w:jc w:val="center"/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</w:pPr>
      <w:r w:rsidRPr="00CB5C51"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  <w:t xml:space="preserve">Allianz logró un beneficio operativo </w:t>
      </w:r>
      <w:r w:rsidR="00EE4140" w:rsidRPr="00CB5C51"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  <w:t>e ingr</w:t>
      </w:r>
      <w:r w:rsidR="00CB5C51" w:rsidRPr="00CB5C51"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  <w:t xml:space="preserve">eso neto </w:t>
      </w:r>
      <w:r w:rsidR="00CB5C51" w:rsidRPr="00CB5C51"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  <w:t xml:space="preserve">récord </w:t>
      </w:r>
      <w:r w:rsidR="00CB5C51" w:rsidRPr="00CB5C51"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  <w:t xml:space="preserve">para los accionistas </w:t>
      </w:r>
    </w:p>
    <w:p w14:paraId="6ACADBF0" w14:textId="77777777" w:rsidR="00BC7B76" w:rsidRPr="00CB5C51" w:rsidRDefault="00BC7B76">
      <w:pPr>
        <w:shd w:val="clear" w:color="auto" w:fill="FFFFFF"/>
        <w:spacing w:line="240" w:lineRule="auto"/>
        <w:jc w:val="center"/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</w:pPr>
    </w:p>
    <w:p w14:paraId="0364862B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Roboto" w:hAnsiTheme="majorHAnsi" w:cstheme="majorHAnsi"/>
          <w:b/>
          <w:color w:val="0D0D0D"/>
          <w:sz w:val="28"/>
          <w:szCs w:val="28"/>
          <w:highlight w:val="white"/>
        </w:rPr>
      </w:pPr>
    </w:p>
    <w:p w14:paraId="427BDC63" w14:textId="0DF132B7" w:rsidR="00BC7B76" w:rsidRPr="00CB5C51" w:rsidRDefault="000B6721">
      <w:pPr>
        <w:shd w:val="clear" w:color="auto" w:fill="FFFFFF"/>
        <w:rPr>
          <w:rFonts w:asciiTheme="majorHAnsi" w:hAnsiTheme="majorHAnsi" w:cstheme="majorHAnsi"/>
          <w:color w:val="222222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Buenos Aires, </w:t>
      </w:r>
      <w:r w:rsidR="000A72BF" w:rsidRPr="00CB5C51">
        <w:rPr>
          <w:rFonts w:asciiTheme="majorHAnsi" w:eastAsia="Roboto" w:hAnsiTheme="majorHAnsi" w:cstheme="majorHAnsi"/>
          <w:color w:val="0D0D0D"/>
          <w:highlight w:val="white"/>
        </w:rPr>
        <w:t>marzo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de 2023.  </w:t>
      </w:r>
      <w:r w:rsidRPr="00CB5C51">
        <w:rPr>
          <w:rFonts w:asciiTheme="majorHAnsi" w:hAnsiTheme="majorHAnsi" w:cstheme="majorHAnsi"/>
          <w:color w:val="222222"/>
        </w:rPr>
        <w:t xml:space="preserve">El Grupo Allianz anunció los resultados de sus operaciones del último trimestre de 2023 y los números finales de todo el año pasado, demostrando, una vez más, ganancias operativas récord y beneficios para sus accionistas. </w:t>
      </w:r>
    </w:p>
    <w:p w14:paraId="24C2A7B8" w14:textId="77777777" w:rsidR="00BC7B76" w:rsidRPr="00CB5C51" w:rsidRDefault="00BC7B76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5AA90AF2" w14:textId="77777777" w:rsidR="00BC7B76" w:rsidRPr="00CB5C51" w:rsidRDefault="000B6721">
      <w:pPr>
        <w:shd w:val="clear" w:color="auto" w:fill="FFFFFF"/>
        <w:rPr>
          <w:rFonts w:asciiTheme="majorHAnsi" w:hAnsiTheme="majorHAnsi" w:cstheme="majorHAnsi"/>
          <w:color w:val="222222"/>
        </w:rPr>
      </w:pPr>
      <w:r w:rsidRPr="00CB5C51">
        <w:rPr>
          <w:rFonts w:asciiTheme="majorHAnsi" w:hAnsiTheme="majorHAnsi" w:cstheme="majorHAnsi"/>
          <w:color w:val="222222"/>
        </w:rPr>
        <w:t>Durante el último trimestre del año la aseguradora obtuvo los siguientes resultados:</w:t>
      </w:r>
    </w:p>
    <w:p w14:paraId="2215BC3C" w14:textId="77777777" w:rsidR="00BC7B76" w:rsidRPr="00CB5C51" w:rsidRDefault="00BC7B76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36E306DD" w14:textId="15526C5E" w:rsidR="00BC7B76" w:rsidRPr="00CB5C51" w:rsidRDefault="000B6721">
      <w:pPr>
        <w:numPr>
          <w:ilvl w:val="0"/>
          <w:numId w:val="2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volumen total de negocios avanzó un 7,8 % a 39.6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euros;</w:t>
      </w:r>
    </w:p>
    <w:p w14:paraId="3E8B278C" w14:textId="5561B9F1" w:rsidR="00BC7B76" w:rsidRPr="00CB5C51" w:rsidRDefault="000B6721">
      <w:pPr>
        <w:numPr>
          <w:ilvl w:val="0"/>
          <w:numId w:val="2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beneficio operativo se disparó un 17 % a 3.8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euros, impulsado por el segmento de negocios de Vida/Salud, respaldado por resultados sólidos en todos los demás segmentos 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de negocios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>;</w:t>
      </w:r>
    </w:p>
    <w:p w14:paraId="7B7908D6" w14:textId="3104E310" w:rsidR="00BC7B76" w:rsidRPr="00CB5C51" w:rsidRDefault="000B6721">
      <w:pPr>
        <w:numPr>
          <w:ilvl w:val="0"/>
          <w:numId w:val="2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ingreso neto central de los accionistas alcanzó los 2.4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00 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>millones de euros, un aumento del 46,4 %;</w:t>
      </w:r>
    </w:p>
    <w:p w14:paraId="6D54F7EB" w14:textId="77777777" w:rsidR="00BC7B76" w:rsidRPr="00CB5C51" w:rsidRDefault="000B6721">
      <w:pPr>
        <w:numPr>
          <w:ilvl w:val="0"/>
          <w:numId w:val="2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Fuerte ratio de capitalización de Solvencia II del 206 % después del pago de dividendos propuesto. </w:t>
      </w:r>
    </w:p>
    <w:p w14:paraId="6FB7EE13" w14:textId="77777777" w:rsidR="00BC7B76" w:rsidRPr="00CB5C51" w:rsidRDefault="00BC7B76">
      <w:pPr>
        <w:shd w:val="clear" w:color="auto" w:fill="FFFFFF"/>
        <w:rPr>
          <w:rFonts w:asciiTheme="majorHAnsi" w:hAnsiTheme="majorHAnsi" w:cstheme="majorHAnsi"/>
          <w:color w:val="222222"/>
        </w:rPr>
      </w:pPr>
    </w:p>
    <w:p w14:paraId="7E354AE8" w14:textId="15103574" w:rsidR="00BC7B76" w:rsidRPr="00CB5C51" w:rsidRDefault="000B6721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hAnsiTheme="majorHAnsi" w:cstheme="majorHAnsi"/>
          <w:color w:val="222222"/>
        </w:rPr>
        <w:t>En lo que respecta al año en su totalidad, la empresa logró</w:t>
      </w:r>
      <w:r w:rsidR="00EE4140" w:rsidRPr="00CB5C51">
        <w:rPr>
          <w:rFonts w:asciiTheme="majorHAnsi" w:hAnsiTheme="majorHAnsi" w:cstheme="majorHAnsi"/>
          <w:color w:val="222222"/>
        </w:rPr>
        <w:t>:</w:t>
      </w:r>
    </w:p>
    <w:p w14:paraId="5D8797CC" w14:textId="77777777" w:rsidR="00BC7B76" w:rsidRPr="00CB5C51" w:rsidRDefault="00BC7B76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</w:p>
    <w:p w14:paraId="35D74E24" w14:textId="4B4C6A68" w:rsidR="00BC7B76" w:rsidRPr="00CB5C51" w:rsidRDefault="000B6721">
      <w:pPr>
        <w:numPr>
          <w:ilvl w:val="0"/>
          <w:numId w:val="1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volumen total de negocios aumentó un 5.5 % a 161.7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euros;</w:t>
      </w:r>
    </w:p>
    <w:p w14:paraId="1FDD9D89" w14:textId="68031B23" w:rsidR="00BC7B76" w:rsidRPr="00CB5C51" w:rsidRDefault="000B6721">
      <w:pPr>
        <w:numPr>
          <w:ilvl w:val="0"/>
          <w:numId w:val="1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beneficio operativo aumentó un 6.7 % a 14.7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euros, impulsado principalmente por el segmento de negocios de Vida/Salud;</w:t>
      </w:r>
    </w:p>
    <w:p w14:paraId="13F15E2C" w14:textId="399DBDC7" w:rsidR="00BC7B76" w:rsidRPr="00CB5C51" w:rsidRDefault="000B6721">
      <w:pPr>
        <w:numPr>
          <w:ilvl w:val="0"/>
          <w:numId w:val="1"/>
        </w:num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El excelente ingreso neto central de los accionistas ascendió a 9.1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euros, un aumento del 30.3 %. </w:t>
      </w:r>
    </w:p>
    <w:p w14:paraId="2DB689D0" w14:textId="77777777" w:rsidR="00BC7B76" w:rsidRPr="00CB5C51" w:rsidRDefault="00BC7B76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</w:p>
    <w:p w14:paraId="4ED1C382" w14:textId="46DF33A8" w:rsidR="00BC7B76" w:rsidRPr="00CB5C51" w:rsidRDefault="000B6721">
      <w:pPr>
        <w:shd w:val="clear" w:color="auto" w:fill="FFFFFF"/>
        <w:jc w:val="both"/>
        <w:rPr>
          <w:rFonts w:asciiTheme="majorHAnsi" w:eastAsia="Roboto" w:hAnsiTheme="majorHAnsi" w:cstheme="majorHAnsi"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>Con este desempeño, las perspectivas para el año 2024 son de mayor crecimiento. El objetivo de Allianz es lograr un beneficio operativo de 14.8</w:t>
      </w:r>
      <w:r w:rsidR="00EE4140" w:rsidRPr="00CB5C51">
        <w:rPr>
          <w:rFonts w:asciiTheme="majorHAnsi" w:eastAsia="Roboto" w:hAnsiTheme="majorHAnsi" w:cstheme="majorHAnsi"/>
          <w:color w:val="0D0D0D"/>
          <w:highlight w:val="white"/>
        </w:rPr>
        <w:t>00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 millones de euros (+/- mil millones de euros). </w:t>
      </w:r>
    </w:p>
    <w:p w14:paraId="60462EFC" w14:textId="77777777" w:rsidR="00BC7B76" w:rsidRPr="00CB5C51" w:rsidRDefault="00BC7B76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</w:p>
    <w:p w14:paraId="7F8574CD" w14:textId="57DF447E" w:rsidR="00BC7B76" w:rsidRPr="00CB5C51" w:rsidRDefault="000B6721">
      <w:pPr>
        <w:shd w:val="clear" w:color="auto" w:fill="FFFFFF"/>
        <w:jc w:val="both"/>
        <w:rPr>
          <w:rFonts w:asciiTheme="majorHAnsi" w:eastAsia="Roboto" w:hAnsiTheme="majorHAnsi" w:cstheme="majorHAnsi"/>
          <w:b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>"En Allianz hemos prolongado nuestr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o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camino 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de lograr un récord de beneficio operativo e ingreso neto, consolidando nuestra posición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de liderazgo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como uno de los aseguradores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y gestores de activos 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>globales más resi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lientes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del mundo. Nuestros resultados demuestran la confianza que nuestros clientes depositan en Allianz, y en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el 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>potencial de nuestro modelo de negocio y nuestra gente”</w:t>
      </w: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, explicó </w:t>
      </w:r>
      <w:r w:rsidRPr="00CB5C51">
        <w:rPr>
          <w:rFonts w:asciiTheme="majorHAnsi" w:eastAsia="Roboto" w:hAnsiTheme="majorHAnsi" w:cstheme="majorHAnsi"/>
          <w:b/>
          <w:color w:val="0D0D0D"/>
          <w:highlight w:val="white"/>
        </w:rPr>
        <w:t xml:space="preserve">Oliver </w:t>
      </w:r>
      <w:proofErr w:type="spellStart"/>
      <w:r w:rsidRPr="00CB5C51">
        <w:rPr>
          <w:rFonts w:asciiTheme="majorHAnsi" w:eastAsia="Roboto" w:hAnsiTheme="majorHAnsi" w:cstheme="majorHAnsi"/>
          <w:b/>
          <w:color w:val="0D0D0D"/>
          <w:highlight w:val="white"/>
        </w:rPr>
        <w:t>Bäte</w:t>
      </w:r>
      <w:proofErr w:type="spellEnd"/>
      <w:r w:rsidRPr="00CB5C51">
        <w:rPr>
          <w:rFonts w:asciiTheme="majorHAnsi" w:eastAsia="Roboto" w:hAnsiTheme="majorHAnsi" w:cstheme="majorHAnsi"/>
          <w:b/>
          <w:color w:val="0D0D0D"/>
          <w:highlight w:val="white"/>
        </w:rPr>
        <w:t>, Director Ejecutivo de Allianz SE.</w:t>
      </w:r>
    </w:p>
    <w:p w14:paraId="3DDED4F5" w14:textId="77777777" w:rsidR="00BC7B76" w:rsidRPr="00CB5C51" w:rsidRDefault="00BC7B76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</w:p>
    <w:p w14:paraId="289C97D8" w14:textId="202F6E14" w:rsidR="00BC7B76" w:rsidRPr="00CB5C51" w:rsidRDefault="000B6721">
      <w:pPr>
        <w:shd w:val="clear" w:color="auto" w:fill="FFFFFF"/>
        <w:jc w:val="both"/>
        <w:rPr>
          <w:rFonts w:asciiTheme="majorHAnsi" w:eastAsia="Roboto" w:hAnsiTheme="majorHAnsi" w:cstheme="majorHAnsi"/>
          <w:i/>
          <w:color w:val="0D0D0D"/>
          <w:highlight w:val="white"/>
        </w:rPr>
      </w:pPr>
      <w:r w:rsidRPr="00CB5C51">
        <w:rPr>
          <w:rFonts w:asciiTheme="majorHAnsi" w:eastAsia="Roboto" w:hAnsiTheme="majorHAnsi" w:cstheme="majorHAnsi"/>
          <w:color w:val="0D0D0D"/>
          <w:highlight w:val="white"/>
        </w:rPr>
        <w:t xml:space="preserve">A su vez, el representante de la compañía agregó: 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“Nuestro negocio de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Seguros Patrimoniales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registró un fuerte crecimiento mientras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que a la vez apoyamos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a nuestros clientes afectados por niveles elevados de catástrofes naturales. Nuestro segmento de Vida/Salud logró un crecimiento rentable al 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lastRenderedPageBreak/>
        <w:t xml:space="preserve">desarrollar soluciones atractivas para proteger a nuestros clientes de los efectos de la inflación en sus ahorros, y en nuestro negocio de Gestión de Activos logramos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resultados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sólid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o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s en un entorno de mercado de capitales volátil. La disciplina de nuestra estrategia, ejecución y gestión de capital refuerza nuestras perspectivas de beneficio operativo para 2024, nuestra nueva política de dividendos y nuestro renovado programa de recompra de acciones. En el próximo año, seguiremos enfocados en </w:t>
      </w:r>
      <w:r w:rsidR="00EE4140" w:rsidRPr="00CB5C51">
        <w:rPr>
          <w:rFonts w:asciiTheme="majorHAnsi" w:eastAsia="Roboto" w:hAnsiTheme="majorHAnsi" w:cstheme="majorHAnsi"/>
          <w:i/>
          <w:color w:val="0D0D0D"/>
          <w:highlight w:val="white"/>
        </w:rPr>
        <w:t>potenciar</w:t>
      </w:r>
      <w:r w:rsidRPr="00CB5C51">
        <w:rPr>
          <w:rFonts w:asciiTheme="majorHAnsi" w:eastAsia="Roboto" w:hAnsiTheme="majorHAnsi" w:cstheme="majorHAnsi"/>
          <w:i/>
          <w:color w:val="0D0D0D"/>
          <w:highlight w:val="white"/>
        </w:rPr>
        <w:t xml:space="preserve"> los beneficios de nuestra escala para aumentar aún más nuestra productividad, y en convertir nuestra excelente experiencia del cliente en un crecimiento rentable del cliente."</w:t>
      </w:r>
    </w:p>
    <w:p w14:paraId="1A79EEF8" w14:textId="77777777" w:rsidR="00BC7B76" w:rsidRPr="00CB5C51" w:rsidRDefault="00BC7B76">
      <w:pPr>
        <w:shd w:val="clear" w:color="auto" w:fill="FFFFFF"/>
        <w:rPr>
          <w:rFonts w:asciiTheme="majorHAnsi" w:eastAsia="Roboto" w:hAnsiTheme="majorHAnsi" w:cstheme="majorHAnsi"/>
          <w:color w:val="0D0D0D"/>
          <w:highlight w:val="white"/>
        </w:rPr>
      </w:pPr>
    </w:p>
    <w:p w14:paraId="52D16E18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Roboto" w:hAnsiTheme="majorHAnsi" w:cstheme="majorHAnsi"/>
          <w:color w:val="0D0D0D"/>
          <w:highlight w:val="white"/>
        </w:rPr>
      </w:pPr>
    </w:p>
    <w:p w14:paraId="47796BEE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Roboto" w:hAnsiTheme="majorHAnsi" w:cstheme="majorHAnsi"/>
          <w:color w:val="0D0D0D"/>
          <w:highlight w:val="white"/>
        </w:rPr>
      </w:pPr>
    </w:p>
    <w:p w14:paraId="182E61CE" w14:textId="77777777" w:rsidR="00BC7B76" w:rsidRPr="00CB5C51" w:rsidRDefault="000B6721">
      <w:pPr>
        <w:rPr>
          <w:rFonts w:asciiTheme="majorHAnsi" w:hAnsiTheme="majorHAnsi" w:cstheme="majorHAnsi"/>
          <w:b/>
          <w:i/>
          <w:sz w:val="20"/>
          <w:szCs w:val="20"/>
        </w:rPr>
      </w:pPr>
      <w:r w:rsidRPr="00CB5C51">
        <w:rPr>
          <w:rFonts w:asciiTheme="majorHAnsi" w:hAnsiTheme="majorHAnsi" w:cstheme="majorHAnsi"/>
          <w:b/>
          <w:i/>
          <w:sz w:val="20"/>
          <w:szCs w:val="20"/>
        </w:rPr>
        <w:t>Acerca de Allianz</w:t>
      </w:r>
    </w:p>
    <w:p w14:paraId="466AD53B" w14:textId="77777777" w:rsidR="00BC7B76" w:rsidRPr="00CB5C51" w:rsidRDefault="00BC7B76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B831785" w14:textId="77777777" w:rsidR="00BC7B76" w:rsidRPr="00CB5C51" w:rsidRDefault="000B6721">
      <w:pPr>
        <w:jc w:val="both"/>
        <w:rPr>
          <w:rFonts w:asciiTheme="majorHAnsi" w:hAnsiTheme="majorHAnsi" w:cstheme="majorHAnsi"/>
          <w:i/>
          <w:sz w:val="18"/>
          <w:szCs w:val="18"/>
        </w:rPr>
      </w:pPr>
      <w:r w:rsidRPr="00CB5C51">
        <w:rPr>
          <w:rFonts w:asciiTheme="majorHAnsi" w:hAnsiTheme="majorHAnsi" w:cstheme="majorHAnsi"/>
          <w:i/>
          <w:sz w:val="18"/>
          <w:szCs w:val="18"/>
        </w:rPr>
        <w:t>Fundada en 1890 en Múnich, Alemania, la compañía de Seguros y Servicios Financieros ha logrado un crecimiento sustentable y sostenido, posicionándose hoy entre los grandes líderes mundiales. Presente en 70 países, el Grupo Allianz cuenta con más de 159.000 empleados enfocados en la satisfacción de sus clientes y la gestión eficaz de todos los aspectos del negocio. Con ingresos anuales que en 2022 alcanzaron los €152.700 millones y su amplia gama de soluciones en seguros y gestión de activos, brinda un sólido respaldo a 122 millones de clientes alrededor del mundo. En Argentina, Allianz está presente desde 1988 con presencia en las principales regiones del país y una política comercial orientada al desarrollo de grandes riesgos industriales, comerciales y particulares, Allianz ofrece soluciones integrales y un servicio de calidad para proteger todos los bienes y actividades de sus asegurados.</w:t>
      </w:r>
    </w:p>
    <w:p w14:paraId="3F2A100D" w14:textId="77777777" w:rsidR="00BC7B76" w:rsidRPr="00CB5C51" w:rsidRDefault="00BC7B76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BB6882E" w14:textId="77777777" w:rsidR="00BC7B76" w:rsidRPr="00CB5C51" w:rsidRDefault="00BC7B76">
      <w:pPr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34933529" w14:textId="77777777" w:rsidR="00BC7B76" w:rsidRPr="00CB5C51" w:rsidRDefault="000B6721">
      <w:pPr>
        <w:jc w:val="both"/>
        <w:rPr>
          <w:rFonts w:asciiTheme="majorHAnsi" w:hAnsiTheme="majorHAnsi" w:cstheme="majorHAnsi"/>
          <w:b/>
          <w:sz w:val="20"/>
          <w:szCs w:val="20"/>
        </w:rPr>
      </w:pPr>
      <w:r w:rsidRPr="00CB5C51">
        <w:rPr>
          <w:rFonts w:asciiTheme="majorHAnsi" w:hAnsiTheme="majorHAnsi" w:cstheme="majorHAnsi"/>
          <w:b/>
          <w:sz w:val="20"/>
          <w:szCs w:val="20"/>
        </w:rPr>
        <w:t>Contacto de prensa</w:t>
      </w:r>
    </w:p>
    <w:p w14:paraId="0E6B47AE" w14:textId="77777777" w:rsidR="00BC7B76" w:rsidRPr="00CB5C51" w:rsidRDefault="00BC7B76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44A99343" w14:textId="77777777" w:rsidR="00BC7B76" w:rsidRPr="00CB5C51" w:rsidRDefault="000B6721">
      <w:pPr>
        <w:jc w:val="both"/>
        <w:rPr>
          <w:rFonts w:asciiTheme="majorHAnsi" w:hAnsiTheme="majorHAnsi" w:cstheme="majorHAnsi"/>
          <w:sz w:val="20"/>
          <w:szCs w:val="20"/>
        </w:rPr>
      </w:pPr>
      <w:r w:rsidRPr="00CB5C51">
        <w:rPr>
          <w:rFonts w:asciiTheme="majorHAnsi" w:hAnsiTheme="majorHAnsi" w:cstheme="majorHAnsi"/>
          <w:sz w:val="20"/>
          <w:szCs w:val="20"/>
        </w:rPr>
        <w:t>Natalia Serantes</w:t>
      </w:r>
    </w:p>
    <w:p w14:paraId="38833BE5" w14:textId="77777777" w:rsidR="00BC7B76" w:rsidRPr="00CB5C51" w:rsidRDefault="000B6721">
      <w:pPr>
        <w:jc w:val="both"/>
        <w:rPr>
          <w:rFonts w:asciiTheme="majorHAnsi" w:hAnsiTheme="majorHAnsi" w:cstheme="majorHAnsi"/>
          <w:sz w:val="20"/>
          <w:szCs w:val="20"/>
        </w:rPr>
      </w:pPr>
      <w:r w:rsidRPr="00CB5C51">
        <w:rPr>
          <w:rFonts w:asciiTheme="majorHAnsi" w:hAnsiTheme="majorHAnsi" w:cstheme="majorHAnsi"/>
          <w:sz w:val="20"/>
          <w:szCs w:val="20"/>
        </w:rPr>
        <w:t xml:space="preserve">FICPR - </w:t>
      </w:r>
      <w:proofErr w:type="spellStart"/>
      <w:r w:rsidRPr="00CB5C51">
        <w:rPr>
          <w:rFonts w:asciiTheme="majorHAnsi" w:hAnsiTheme="majorHAnsi" w:cstheme="majorHAnsi"/>
          <w:sz w:val="20"/>
          <w:szCs w:val="20"/>
        </w:rPr>
        <w:t>Fleishman</w:t>
      </w:r>
      <w:proofErr w:type="spellEnd"/>
      <w:r w:rsidRPr="00CB5C51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CB5C51">
        <w:rPr>
          <w:rFonts w:asciiTheme="majorHAnsi" w:hAnsiTheme="majorHAnsi" w:cstheme="majorHAnsi"/>
          <w:sz w:val="20"/>
          <w:szCs w:val="20"/>
        </w:rPr>
        <w:t>Hillard</w:t>
      </w:r>
      <w:proofErr w:type="spellEnd"/>
      <w:r w:rsidRPr="00CB5C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1D9D8FC5" w14:textId="77777777" w:rsidR="00BC7B76" w:rsidRPr="00CB5C51" w:rsidRDefault="00CB5C51">
      <w:pPr>
        <w:jc w:val="both"/>
        <w:rPr>
          <w:rFonts w:asciiTheme="majorHAnsi" w:hAnsiTheme="majorHAnsi" w:cstheme="majorHAnsi"/>
          <w:sz w:val="20"/>
          <w:szCs w:val="20"/>
        </w:rPr>
      </w:pPr>
      <w:hyperlink r:id="rId9">
        <w:r w:rsidR="000B6721" w:rsidRPr="00CB5C51">
          <w:rPr>
            <w:rFonts w:asciiTheme="majorHAnsi" w:hAnsiTheme="majorHAnsi" w:cstheme="majorHAnsi"/>
            <w:color w:val="1155CC"/>
            <w:sz w:val="20"/>
            <w:szCs w:val="20"/>
            <w:u w:val="single"/>
          </w:rPr>
          <w:t>nserantes@ficpr.com.ar</w:t>
        </w:r>
      </w:hyperlink>
      <w:r w:rsidR="000B6721" w:rsidRPr="00CB5C51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0A1284C" w14:textId="77777777" w:rsidR="00BC7B76" w:rsidRPr="00CB5C51" w:rsidRDefault="000B6721">
      <w:pPr>
        <w:jc w:val="both"/>
        <w:rPr>
          <w:rFonts w:asciiTheme="majorHAnsi" w:hAnsiTheme="majorHAnsi" w:cstheme="majorHAnsi"/>
          <w:sz w:val="20"/>
          <w:szCs w:val="20"/>
        </w:rPr>
      </w:pPr>
      <w:r w:rsidRPr="00CB5C51">
        <w:rPr>
          <w:rFonts w:asciiTheme="majorHAnsi" w:hAnsiTheme="majorHAnsi" w:cstheme="majorHAnsi"/>
          <w:sz w:val="20"/>
          <w:szCs w:val="20"/>
        </w:rPr>
        <w:t>11-6468-1456</w:t>
      </w:r>
    </w:p>
    <w:p w14:paraId="0193BA23" w14:textId="77777777" w:rsidR="00BC7B76" w:rsidRPr="00CB5C51" w:rsidRDefault="00BC7B76">
      <w:pPr>
        <w:shd w:val="clear" w:color="auto" w:fill="FFFFFF"/>
        <w:spacing w:line="240" w:lineRule="auto"/>
        <w:rPr>
          <w:rFonts w:asciiTheme="majorHAnsi" w:eastAsia="Roboto" w:hAnsiTheme="majorHAnsi" w:cstheme="majorHAnsi"/>
          <w:color w:val="0D0D0D"/>
          <w:highlight w:val="white"/>
        </w:rPr>
      </w:pPr>
    </w:p>
    <w:sectPr w:rsidR="00BC7B76" w:rsidRPr="00CB5C5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05B"/>
    <w:multiLevelType w:val="multilevel"/>
    <w:tmpl w:val="44DC2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F3B78F3"/>
    <w:multiLevelType w:val="multilevel"/>
    <w:tmpl w:val="8780AE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76"/>
    <w:rsid w:val="000A72BF"/>
    <w:rsid w:val="000B6721"/>
    <w:rsid w:val="00BC7B76"/>
    <w:rsid w:val="00CB5C51"/>
    <w:rsid w:val="00E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3BD1"/>
  <w15:docId w15:val="{D5C9C606-2BC4-4246-B8C7-3FE50C47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nserantes@ficpr.com.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D8F09836B89A4B9EC384ED22B033F1" ma:contentTypeVersion="18" ma:contentTypeDescription="Create a new document." ma:contentTypeScope="" ma:versionID="411e86de67e1f9cb68aa3cab1abf35bd">
  <xsd:schema xmlns:xsd="http://www.w3.org/2001/XMLSchema" xmlns:xs="http://www.w3.org/2001/XMLSchema" xmlns:p="http://schemas.microsoft.com/office/2006/metadata/properties" xmlns:ns2="763cf190-38bf-4864-badd-47b257a4bb6c" xmlns:ns3="6f4ba07b-bbf7-4553-bb84-7d9dc410b679" targetNamespace="http://schemas.microsoft.com/office/2006/metadata/properties" ma:root="true" ma:fieldsID="d632f74512228e9f8f82006a9adcb9b6" ns2:_="" ns3:_="">
    <xsd:import namespace="763cf190-38bf-4864-badd-47b257a4bb6c"/>
    <xsd:import namespace="6f4ba07b-bbf7-4553-bb84-7d9dc410b6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cf190-38bf-4864-badd-47b257a4b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fb55579-176d-4bb3-bd9c-31354106eb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ba07b-bbf7-4553-bb84-7d9dc410b6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def45ef-2c45-4b00-b7d6-ed61957f232d}" ma:internalName="TaxCatchAll" ma:showField="CatchAllData" ma:web="6f4ba07b-bbf7-4553-bb84-7d9dc410b6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4ba07b-bbf7-4553-bb84-7d9dc410b679" xsi:nil="true"/>
    <lcf76f155ced4ddcb4097134ff3c332f xmlns="763cf190-38bf-4864-badd-47b257a4b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6608B5-B292-44D8-A15C-7E864D620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cf190-38bf-4864-badd-47b257a4bb6c"/>
    <ds:schemaRef ds:uri="6f4ba07b-bbf7-4553-bb84-7d9dc410b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EDD839-569C-49BA-A8EC-D537CE549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38192-3762-41D5-8F2C-E946790ADAE4}">
  <ds:schemaRefs>
    <ds:schemaRef ds:uri="http://schemas.microsoft.com/office/2006/metadata/properties"/>
    <ds:schemaRef ds:uri="http://schemas.microsoft.com/office/infopath/2007/PartnerControls"/>
    <ds:schemaRef ds:uri="6f4ba07b-bbf7-4553-bb84-7d9dc410b679"/>
    <ds:schemaRef ds:uri="763cf190-38bf-4864-badd-47b257a4b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620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Julieta Fondeville</dc:creator>
  <cp:lastModifiedBy>Natalia Serantes</cp:lastModifiedBy>
  <cp:revision>3</cp:revision>
  <dcterms:created xsi:type="dcterms:W3CDTF">2024-03-04T15:30:00Z</dcterms:created>
  <dcterms:modified xsi:type="dcterms:W3CDTF">2024-03-04T19:46:00Z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2024-03-04T14:41:58Z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a7c2dbf1-4a26-4d0c-9cb0-67905e1af87d</vt:lpwstr>
  </property>
  <property fmtid="{D5CDD505-2E9C-101B-9397-08002B2CF9AE}" pid="7" name="MSIP_Label_defa4170-0d19-0005-0004-bc88714345d2_ActionId">
    <vt:lpwstr>d7313da5-c33c-4f94-a0f8-d9cd68705f42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0x010100DED8F09836B89A4B9EC384ED22B033F1</vt:lpwstr>
  </property>
  <property fmtid="{D5CDD505-2E9C-101B-9397-08002B2CF9AE}" pid="10" name="MediaServiceImageTags">
    <vt:lpwstr/>
  </property>
</Properties>
</file>